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4A0" w:firstRow="1" w:lastRow="0" w:firstColumn="1" w:lastColumn="0" w:noHBand="0" w:noVBand="1"/>
      </w:tblPr>
      <w:tblGrid>
        <w:gridCol w:w="2254"/>
        <w:gridCol w:w="6746"/>
      </w:tblGrid>
      <w:tr w:rsidR="006A125D" w14:paraId="297FBC22" w14:textId="77777777">
        <w:tblPrEx>
          <w:tblCellMar>
            <w:top w:w="0" w:type="dxa"/>
            <w:bottom w:w="0" w:type="dxa"/>
          </w:tblCellMar>
        </w:tblPrEx>
        <w:trPr>
          <w:tblCellSpacing w:w="60" w:type="dxa"/>
        </w:trPr>
        <w:tc>
          <w:tcPr>
            <w:tcW w:w="1200" w:type="pct"/>
            <w:shd w:val="clear" w:color="auto" w:fill="E7F0F9"/>
          </w:tcPr>
          <w:p w14:paraId="3D0460CB" w14:textId="77777777" w:rsidR="006A125D" w:rsidRDefault="00000000">
            <w:pPr>
              <w:spacing w:after="0" w:line="240" w:lineRule="auto"/>
            </w:pPr>
            <w:r>
              <w:rPr>
                <w:b/>
              </w:rPr>
              <w:t>RKP broj</w:t>
            </w:r>
          </w:p>
        </w:tc>
        <w:tc>
          <w:tcPr>
            <w:tcW w:w="0" w:type="auto"/>
            <w:shd w:val="clear" w:color="auto" w:fill="E7F0F9"/>
          </w:tcPr>
          <w:p w14:paraId="6C02262F" w14:textId="77777777" w:rsidR="006A125D" w:rsidRDefault="00000000">
            <w:pPr>
              <w:spacing w:after="0" w:line="240" w:lineRule="auto"/>
            </w:pPr>
            <w:r>
              <w:t>35468</w:t>
            </w:r>
          </w:p>
        </w:tc>
      </w:tr>
      <w:tr w:rsidR="006A125D" w14:paraId="4A87E6E4" w14:textId="77777777">
        <w:tblPrEx>
          <w:tblCellMar>
            <w:top w:w="0" w:type="dxa"/>
            <w:bottom w:w="0" w:type="dxa"/>
          </w:tblCellMar>
        </w:tblPrEx>
        <w:trPr>
          <w:tblCellSpacing w:w="60" w:type="dxa"/>
        </w:trPr>
        <w:tc>
          <w:tcPr>
            <w:tcW w:w="1200" w:type="pct"/>
            <w:shd w:val="clear" w:color="auto" w:fill="E7F0F9"/>
          </w:tcPr>
          <w:p w14:paraId="24611CED" w14:textId="77777777" w:rsidR="006A125D" w:rsidRDefault="00000000">
            <w:pPr>
              <w:spacing w:after="0" w:line="240" w:lineRule="auto"/>
            </w:pPr>
            <w:r>
              <w:rPr>
                <w:b/>
              </w:rPr>
              <w:t>Naziv obveznika</w:t>
            </w:r>
          </w:p>
        </w:tc>
        <w:tc>
          <w:tcPr>
            <w:tcW w:w="0" w:type="auto"/>
            <w:shd w:val="clear" w:color="auto" w:fill="E7F0F9"/>
          </w:tcPr>
          <w:p w14:paraId="3C9F68E5" w14:textId="77777777" w:rsidR="006A125D" w:rsidRDefault="00000000">
            <w:pPr>
              <w:spacing w:after="0" w:line="240" w:lineRule="auto"/>
            </w:pPr>
            <w:r>
              <w:t>OPĆINA ČEPIN</w:t>
            </w:r>
          </w:p>
        </w:tc>
      </w:tr>
      <w:tr w:rsidR="006A125D" w14:paraId="1A0079E9" w14:textId="77777777">
        <w:tblPrEx>
          <w:tblCellMar>
            <w:top w:w="0" w:type="dxa"/>
            <w:bottom w:w="0" w:type="dxa"/>
          </w:tblCellMar>
        </w:tblPrEx>
        <w:trPr>
          <w:tblCellSpacing w:w="60" w:type="dxa"/>
        </w:trPr>
        <w:tc>
          <w:tcPr>
            <w:tcW w:w="1200" w:type="pct"/>
            <w:shd w:val="clear" w:color="auto" w:fill="E7F0F9"/>
          </w:tcPr>
          <w:p w14:paraId="5AB1A087" w14:textId="77777777" w:rsidR="006A125D" w:rsidRDefault="00000000">
            <w:pPr>
              <w:spacing w:after="0" w:line="240" w:lineRule="auto"/>
            </w:pPr>
            <w:r>
              <w:rPr>
                <w:b/>
              </w:rPr>
              <w:t>Razina</w:t>
            </w:r>
          </w:p>
        </w:tc>
        <w:tc>
          <w:tcPr>
            <w:tcW w:w="0" w:type="auto"/>
            <w:shd w:val="clear" w:color="auto" w:fill="E7F0F9"/>
          </w:tcPr>
          <w:p w14:paraId="6B6843DE" w14:textId="77777777" w:rsidR="006A125D" w:rsidRDefault="00000000">
            <w:pPr>
              <w:spacing w:after="0" w:line="240" w:lineRule="auto"/>
            </w:pPr>
            <w:r>
              <w:t>22</w:t>
            </w:r>
          </w:p>
        </w:tc>
      </w:tr>
    </w:tbl>
    <w:p w14:paraId="1F51A69B" w14:textId="77777777" w:rsidR="006A125D" w:rsidRDefault="00000000">
      <w:r>
        <w:br/>
      </w:r>
    </w:p>
    <w:p w14:paraId="1A713C50" w14:textId="77777777" w:rsidR="006A125D" w:rsidRDefault="00000000">
      <w:pPr>
        <w:spacing w:line="240" w:lineRule="auto"/>
        <w:jc w:val="center"/>
      </w:pPr>
      <w:r>
        <w:rPr>
          <w:b/>
          <w:sz w:val="28"/>
        </w:rPr>
        <w:t>BILJEŠKE UZ FINANCIJSKE IZVJEŠTAJE</w:t>
      </w:r>
    </w:p>
    <w:p w14:paraId="05237ECA" w14:textId="77777777" w:rsidR="006A125D" w:rsidRDefault="00000000">
      <w:pPr>
        <w:spacing w:line="240" w:lineRule="auto"/>
        <w:jc w:val="center"/>
      </w:pPr>
      <w:r>
        <w:rPr>
          <w:b/>
          <w:sz w:val="28"/>
        </w:rPr>
        <w:t>ZA RAZDOBLJE</w:t>
      </w:r>
    </w:p>
    <w:p w14:paraId="3DC3C7ED" w14:textId="77777777" w:rsidR="006A125D" w:rsidRDefault="00000000">
      <w:pPr>
        <w:spacing w:line="240" w:lineRule="auto"/>
        <w:jc w:val="center"/>
      </w:pPr>
      <w:r>
        <w:rPr>
          <w:b/>
          <w:sz w:val="28"/>
        </w:rPr>
        <w:t>I - VI 2025.</w:t>
      </w:r>
    </w:p>
    <w:p w14:paraId="1AD99FF3" w14:textId="77777777" w:rsidR="006A125D" w:rsidRDefault="006A125D"/>
    <w:p w14:paraId="29D9E061" w14:textId="77777777" w:rsidR="006A125D" w:rsidRDefault="00000000">
      <w:pPr>
        <w:keepNext/>
        <w:spacing w:line="240" w:lineRule="auto"/>
        <w:jc w:val="center"/>
      </w:pPr>
      <w:r>
        <w:rPr>
          <w:b/>
          <w:sz w:val="28"/>
        </w:rPr>
        <w:t>Izvještaj o prihodima i rashodima, primicima i izdacima</w:t>
      </w:r>
    </w:p>
    <w:p w14:paraId="2681BE6F" w14:textId="77777777" w:rsidR="006A125D" w:rsidRDefault="0000000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1DFC78E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A736FF4"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99AD65C"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41E3E6B"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74D7525"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1940A51"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75CCB9F" w14:textId="77777777" w:rsidR="006A125D" w:rsidRDefault="00000000">
            <w:pPr>
              <w:keepNext/>
              <w:keepLines/>
              <w:spacing w:after="0" w:line="240" w:lineRule="auto"/>
              <w:jc w:val="center"/>
            </w:pPr>
            <w:r>
              <w:rPr>
                <w:b/>
                <w:sz w:val="18"/>
              </w:rPr>
              <w:t>Indeks (%)</w:t>
            </w:r>
          </w:p>
        </w:tc>
      </w:tr>
      <w:tr w:rsidR="006A125D" w14:paraId="3A66F4E4" w14:textId="77777777">
        <w:tblPrEx>
          <w:tblCellMar>
            <w:top w:w="0" w:type="dxa"/>
            <w:bottom w:w="0" w:type="dxa"/>
          </w:tblCellMar>
        </w:tblPrEx>
        <w:trPr>
          <w:cantSplit/>
          <w:trHeight w:val="560"/>
        </w:trPr>
        <w:tc>
          <w:tcPr>
            <w:tcW w:w="700" w:type="dxa"/>
            <w:tcMar>
              <w:top w:w="0" w:type="dxa"/>
              <w:bottom w:w="0" w:type="dxa"/>
            </w:tcMar>
            <w:vAlign w:val="center"/>
          </w:tcPr>
          <w:p w14:paraId="79B68C68" w14:textId="77777777" w:rsidR="006A125D" w:rsidRDefault="00000000">
            <w:pPr>
              <w:keepNext/>
              <w:keepLines/>
              <w:spacing w:after="0" w:line="240" w:lineRule="auto"/>
            </w:pPr>
            <w:r>
              <w:rPr>
                <w:sz w:val="18"/>
              </w:rPr>
              <w:t>6</w:t>
            </w:r>
          </w:p>
        </w:tc>
        <w:tc>
          <w:tcPr>
            <w:tcW w:w="3180" w:type="dxa"/>
            <w:tcMar>
              <w:top w:w="0" w:type="dxa"/>
              <w:bottom w:w="0" w:type="dxa"/>
            </w:tcMar>
            <w:vAlign w:val="center"/>
          </w:tcPr>
          <w:p w14:paraId="6B3559DB" w14:textId="77777777" w:rsidR="006A125D" w:rsidRDefault="00000000">
            <w:pPr>
              <w:keepNext/>
              <w:keepLines/>
              <w:spacing w:after="0" w:line="240" w:lineRule="auto"/>
            </w:pPr>
            <w:r>
              <w:rPr>
                <w:sz w:val="18"/>
              </w:rPr>
              <w:t>PRIHODI POSLOVANJA (šifre 61+62+63+64+65+66+67+68)</w:t>
            </w:r>
          </w:p>
        </w:tc>
        <w:tc>
          <w:tcPr>
            <w:tcW w:w="700" w:type="dxa"/>
            <w:tcMar>
              <w:top w:w="0" w:type="dxa"/>
              <w:bottom w:w="0" w:type="dxa"/>
            </w:tcMar>
            <w:vAlign w:val="center"/>
          </w:tcPr>
          <w:p w14:paraId="78C50BEF" w14:textId="77777777" w:rsidR="006A125D" w:rsidRDefault="00000000">
            <w:pPr>
              <w:keepNext/>
              <w:keepLines/>
              <w:spacing w:after="0" w:line="240" w:lineRule="auto"/>
            </w:pPr>
            <w:r>
              <w:rPr>
                <w:sz w:val="18"/>
              </w:rPr>
              <w:t>6</w:t>
            </w:r>
          </w:p>
        </w:tc>
        <w:tc>
          <w:tcPr>
            <w:tcW w:w="1860" w:type="dxa"/>
            <w:tcMar>
              <w:top w:w="0" w:type="dxa"/>
              <w:bottom w:w="0" w:type="dxa"/>
            </w:tcMar>
            <w:vAlign w:val="center"/>
          </w:tcPr>
          <w:p w14:paraId="3A67C6E3" w14:textId="77777777" w:rsidR="006A125D" w:rsidRDefault="00000000">
            <w:pPr>
              <w:keepNext/>
              <w:keepLines/>
              <w:spacing w:after="0" w:line="240" w:lineRule="auto"/>
              <w:jc w:val="right"/>
            </w:pPr>
            <w:r>
              <w:rPr>
                <w:sz w:val="18"/>
              </w:rPr>
              <w:t>3.426.839,36</w:t>
            </w:r>
          </w:p>
        </w:tc>
        <w:tc>
          <w:tcPr>
            <w:tcW w:w="1860" w:type="dxa"/>
            <w:tcMar>
              <w:top w:w="0" w:type="dxa"/>
              <w:bottom w:w="0" w:type="dxa"/>
            </w:tcMar>
            <w:vAlign w:val="center"/>
          </w:tcPr>
          <w:p w14:paraId="3A45BE11" w14:textId="77777777" w:rsidR="006A125D" w:rsidRDefault="00000000">
            <w:pPr>
              <w:keepNext/>
              <w:keepLines/>
              <w:spacing w:after="0" w:line="240" w:lineRule="auto"/>
              <w:jc w:val="right"/>
            </w:pPr>
            <w:r>
              <w:rPr>
                <w:sz w:val="18"/>
              </w:rPr>
              <w:t>3.511.368,50</w:t>
            </w:r>
          </w:p>
        </w:tc>
        <w:tc>
          <w:tcPr>
            <w:tcW w:w="700" w:type="dxa"/>
            <w:tcMar>
              <w:top w:w="0" w:type="dxa"/>
              <w:bottom w:w="0" w:type="dxa"/>
            </w:tcMar>
            <w:vAlign w:val="center"/>
          </w:tcPr>
          <w:p w14:paraId="20997695" w14:textId="77777777" w:rsidR="006A125D" w:rsidRDefault="00000000">
            <w:pPr>
              <w:keepNext/>
              <w:keepLines/>
              <w:spacing w:after="0" w:line="240" w:lineRule="auto"/>
              <w:jc w:val="right"/>
            </w:pPr>
            <w:r>
              <w:rPr>
                <w:sz w:val="18"/>
              </w:rPr>
              <w:t>102,5</w:t>
            </w:r>
          </w:p>
        </w:tc>
      </w:tr>
      <w:tr w:rsidR="006A125D" w14:paraId="57F2B293" w14:textId="77777777">
        <w:tblPrEx>
          <w:tblCellMar>
            <w:top w:w="0" w:type="dxa"/>
            <w:bottom w:w="0" w:type="dxa"/>
          </w:tblCellMar>
        </w:tblPrEx>
        <w:trPr>
          <w:cantSplit/>
          <w:trHeight w:val="560"/>
        </w:trPr>
        <w:tc>
          <w:tcPr>
            <w:tcW w:w="700" w:type="dxa"/>
            <w:tcMar>
              <w:top w:w="0" w:type="dxa"/>
              <w:bottom w:w="0" w:type="dxa"/>
            </w:tcMar>
            <w:vAlign w:val="center"/>
          </w:tcPr>
          <w:p w14:paraId="1ACDA29A" w14:textId="77777777" w:rsidR="006A125D" w:rsidRDefault="00000000">
            <w:pPr>
              <w:keepNext/>
              <w:keepLines/>
              <w:spacing w:after="0" w:line="240" w:lineRule="auto"/>
            </w:pPr>
            <w:r>
              <w:rPr>
                <w:sz w:val="18"/>
              </w:rPr>
              <w:t>3</w:t>
            </w:r>
          </w:p>
        </w:tc>
        <w:tc>
          <w:tcPr>
            <w:tcW w:w="3180" w:type="dxa"/>
            <w:tcMar>
              <w:top w:w="0" w:type="dxa"/>
              <w:bottom w:w="0" w:type="dxa"/>
            </w:tcMar>
            <w:vAlign w:val="center"/>
          </w:tcPr>
          <w:p w14:paraId="5DE3A444" w14:textId="77777777" w:rsidR="006A125D" w:rsidRDefault="00000000">
            <w:pPr>
              <w:keepNext/>
              <w:keepLines/>
              <w:spacing w:after="0" w:line="240" w:lineRule="auto"/>
            </w:pPr>
            <w:r>
              <w:rPr>
                <w:sz w:val="18"/>
              </w:rPr>
              <w:t>RASHODI POSLOVANJA (šifre 31+32+34+35+36+37+38)</w:t>
            </w:r>
          </w:p>
        </w:tc>
        <w:tc>
          <w:tcPr>
            <w:tcW w:w="700" w:type="dxa"/>
            <w:tcMar>
              <w:top w:w="0" w:type="dxa"/>
              <w:bottom w:w="0" w:type="dxa"/>
            </w:tcMar>
            <w:vAlign w:val="center"/>
          </w:tcPr>
          <w:p w14:paraId="0121B8FF" w14:textId="77777777" w:rsidR="006A125D" w:rsidRDefault="00000000">
            <w:pPr>
              <w:keepNext/>
              <w:keepLines/>
              <w:spacing w:after="0" w:line="240" w:lineRule="auto"/>
            </w:pPr>
            <w:r>
              <w:rPr>
                <w:sz w:val="18"/>
              </w:rPr>
              <w:t>3</w:t>
            </w:r>
          </w:p>
        </w:tc>
        <w:tc>
          <w:tcPr>
            <w:tcW w:w="1860" w:type="dxa"/>
            <w:tcMar>
              <w:top w:w="0" w:type="dxa"/>
              <w:bottom w:w="0" w:type="dxa"/>
            </w:tcMar>
            <w:vAlign w:val="center"/>
          </w:tcPr>
          <w:p w14:paraId="05C2BE85" w14:textId="77777777" w:rsidR="006A125D" w:rsidRDefault="00000000">
            <w:pPr>
              <w:keepNext/>
              <w:keepLines/>
              <w:spacing w:after="0" w:line="240" w:lineRule="auto"/>
              <w:jc w:val="right"/>
            </w:pPr>
            <w:r>
              <w:rPr>
                <w:sz w:val="18"/>
              </w:rPr>
              <w:t>2.385.699,67</w:t>
            </w:r>
          </w:p>
        </w:tc>
        <w:tc>
          <w:tcPr>
            <w:tcW w:w="1860" w:type="dxa"/>
            <w:tcMar>
              <w:top w:w="0" w:type="dxa"/>
              <w:bottom w:w="0" w:type="dxa"/>
            </w:tcMar>
            <w:vAlign w:val="center"/>
          </w:tcPr>
          <w:p w14:paraId="1B13AA6B" w14:textId="77777777" w:rsidR="006A125D" w:rsidRDefault="00000000">
            <w:pPr>
              <w:keepNext/>
              <w:keepLines/>
              <w:spacing w:after="0" w:line="240" w:lineRule="auto"/>
              <w:jc w:val="right"/>
            </w:pPr>
            <w:r>
              <w:rPr>
                <w:sz w:val="18"/>
              </w:rPr>
              <w:t>3.448.218,16</w:t>
            </w:r>
          </w:p>
        </w:tc>
        <w:tc>
          <w:tcPr>
            <w:tcW w:w="700" w:type="dxa"/>
            <w:tcMar>
              <w:top w:w="0" w:type="dxa"/>
              <w:bottom w:w="0" w:type="dxa"/>
            </w:tcMar>
            <w:vAlign w:val="center"/>
          </w:tcPr>
          <w:p w14:paraId="5C7D8F63" w14:textId="77777777" w:rsidR="006A125D" w:rsidRDefault="00000000">
            <w:pPr>
              <w:keepNext/>
              <w:keepLines/>
              <w:spacing w:after="0" w:line="240" w:lineRule="auto"/>
              <w:jc w:val="right"/>
            </w:pPr>
            <w:r>
              <w:rPr>
                <w:sz w:val="18"/>
              </w:rPr>
              <w:t>144,5</w:t>
            </w:r>
          </w:p>
        </w:tc>
      </w:tr>
      <w:tr w:rsidR="006A125D" w14:paraId="10EE6A9E" w14:textId="77777777">
        <w:tblPrEx>
          <w:tblCellMar>
            <w:top w:w="0" w:type="dxa"/>
            <w:bottom w:w="0" w:type="dxa"/>
          </w:tblCellMar>
        </w:tblPrEx>
        <w:trPr>
          <w:cantSplit/>
          <w:trHeight w:val="560"/>
        </w:trPr>
        <w:tc>
          <w:tcPr>
            <w:tcW w:w="700" w:type="dxa"/>
            <w:tcMar>
              <w:top w:w="0" w:type="dxa"/>
              <w:bottom w:w="0" w:type="dxa"/>
            </w:tcMar>
            <w:vAlign w:val="center"/>
          </w:tcPr>
          <w:p w14:paraId="14B99F40" w14:textId="77777777" w:rsidR="006A125D" w:rsidRDefault="006A125D">
            <w:pPr>
              <w:keepNext/>
              <w:keepLines/>
              <w:spacing w:after="0" w:line="240" w:lineRule="auto"/>
            </w:pPr>
          </w:p>
        </w:tc>
        <w:tc>
          <w:tcPr>
            <w:tcW w:w="3180" w:type="dxa"/>
            <w:tcMar>
              <w:top w:w="0" w:type="dxa"/>
              <w:bottom w:w="0" w:type="dxa"/>
            </w:tcMar>
            <w:vAlign w:val="center"/>
          </w:tcPr>
          <w:p w14:paraId="301F18AB" w14:textId="77777777" w:rsidR="006A125D" w:rsidRDefault="00000000">
            <w:pPr>
              <w:keepNext/>
              <w:keepLines/>
              <w:spacing w:after="0" w:line="240" w:lineRule="auto"/>
            </w:pPr>
            <w:r>
              <w:rPr>
                <w:b/>
                <w:sz w:val="18"/>
              </w:rPr>
              <w:t>VIŠAK PRIHODA POSLOVANJA (šifre 6-Z005)</w:t>
            </w:r>
          </w:p>
        </w:tc>
        <w:tc>
          <w:tcPr>
            <w:tcW w:w="700" w:type="dxa"/>
            <w:tcMar>
              <w:top w:w="0" w:type="dxa"/>
              <w:bottom w:w="0" w:type="dxa"/>
            </w:tcMar>
            <w:vAlign w:val="center"/>
          </w:tcPr>
          <w:p w14:paraId="3402175D" w14:textId="77777777" w:rsidR="006A125D" w:rsidRDefault="00000000">
            <w:pPr>
              <w:keepNext/>
              <w:keepLines/>
              <w:spacing w:after="0" w:line="240" w:lineRule="auto"/>
            </w:pPr>
            <w:r>
              <w:rPr>
                <w:b/>
                <w:sz w:val="18"/>
              </w:rPr>
              <w:t>X001</w:t>
            </w:r>
          </w:p>
        </w:tc>
        <w:tc>
          <w:tcPr>
            <w:tcW w:w="1860" w:type="dxa"/>
            <w:tcMar>
              <w:top w:w="0" w:type="dxa"/>
              <w:bottom w:w="0" w:type="dxa"/>
            </w:tcMar>
            <w:vAlign w:val="center"/>
          </w:tcPr>
          <w:p w14:paraId="4F4709F3" w14:textId="77777777" w:rsidR="006A125D" w:rsidRDefault="00000000">
            <w:pPr>
              <w:keepNext/>
              <w:keepLines/>
              <w:spacing w:after="0" w:line="240" w:lineRule="auto"/>
              <w:jc w:val="right"/>
            </w:pPr>
            <w:r>
              <w:rPr>
                <w:b/>
                <w:sz w:val="18"/>
              </w:rPr>
              <w:t>1.041.139,69</w:t>
            </w:r>
          </w:p>
        </w:tc>
        <w:tc>
          <w:tcPr>
            <w:tcW w:w="1860" w:type="dxa"/>
            <w:tcMar>
              <w:top w:w="0" w:type="dxa"/>
              <w:bottom w:w="0" w:type="dxa"/>
            </w:tcMar>
            <w:vAlign w:val="center"/>
          </w:tcPr>
          <w:p w14:paraId="73558DD6" w14:textId="77777777" w:rsidR="006A125D" w:rsidRDefault="00000000">
            <w:pPr>
              <w:keepNext/>
              <w:keepLines/>
              <w:spacing w:after="0" w:line="240" w:lineRule="auto"/>
              <w:jc w:val="right"/>
            </w:pPr>
            <w:r>
              <w:rPr>
                <w:b/>
                <w:sz w:val="18"/>
              </w:rPr>
              <w:t>63.150,34</w:t>
            </w:r>
          </w:p>
        </w:tc>
        <w:tc>
          <w:tcPr>
            <w:tcW w:w="700" w:type="dxa"/>
            <w:tcMar>
              <w:top w:w="0" w:type="dxa"/>
              <w:bottom w:w="0" w:type="dxa"/>
            </w:tcMar>
            <w:vAlign w:val="center"/>
          </w:tcPr>
          <w:p w14:paraId="342F2D6C" w14:textId="77777777" w:rsidR="006A125D" w:rsidRDefault="00000000">
            <w:pPr>
              <w:keepNext/>
              <w:keepLines/>
              <w:spacing w:after="0" w:line="240" w:lineRule="auto"/>
              <w:jc w:val="right"/>
            </w:pPr>
            <w:r>
              <w:rPr>
                <w:b/>
                <w:sz w:val="18"/>
              </w:rPr>
              <w:t>6,1</w:t>
            </w:r>
          </w:p>
        </w:tc>
      </w:tr>
      <w:tr w:rsidR="006A125D" w14:paraId="4F3D1733" w14:textId="77777777">
        <w:tblPrEx>
          <w:tblCellMar>
            <w:top w:w="0" w:type="dxa"/>
            <w:bottom w:w="0" w:type="dxa"/>
          </w:tblCellMar>
        </w:tblPrEx>
        <w:trPr>
          <w:cantSplit/>
          <w:trHeight w:val="560"/>
        </w:trPr>
        <w:tc>
          <w:tcPr>
            <w:tcW w:w="700" w:type="dxa"/>
            <w:tcMar>
              <w:top w:w="0" w:type="dxa"/>
              <w:bottom w:w="0" w:type="dxa"/>
            </w:tcMar>
            <w:vAlign w:val="center"/>
          </w:tcPr>
          <w:p w14:paraId="257CF5D5" w14:textId="77777777" w:rsidR="006A125D" w:rsidRDefault="00000000">
            <w:pPr>
              <w:keepNext/>
              <w:keepLines/>
              <w:spacing w:after="0" w:line="240" w:lineRule="auto"/>
            </w:pPr>
            <w:r>
              <w:rPr>
                <w:sz w:val="18"/>
              </w:rPr>
              <w:t>7</w:t>
            </w:r>
          </w:p>
        </w:tc>
        <w:tc>
          <w:tcPr>
            <w:tcW w:w="3180" w:type="dxa"/>
            <w:tcMar>
              <w:top w:w="0" w:type="dxa"/>
              <w:bottom w:w="0" w:type="dxa"/>
            </w:tcMar>
            <w:vAlign w:val="center"/>
          </w:tcPr>
          <w:p w14:paraId="45EFBC54" w14:textId="77777777" w:rsidR="006A125D" w:rsidRDefault="0000000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14:paraId="1918B517" w14:textId="77777777" w:rsidR="006A125D" w:rsidRDefault="00000000">
            <w:pPr>
              <w:keepNext/>
              <w:keepLines/>
              <w:spacing w:after="0" w:line="240" w:lineRule="auto"/>
            </w:pPr>
            <w:r>
              <w:rPr>
                <w:sz w:val="18"/>
              </w:rPr>
              <w:t>7</w:t>
            </w:r>
          </w:p>
        </w:tc>
        <w:tc>
          <w:tcPr>
            <w:tcW w:w="1860" w:type="dxa"/>
            <w:tcMar>
              <w:top w:w="0" w:type="dxa"/>
              <w:bottom w:w="0" w:type="dxa"/>
            </w:tcMar>
            <w:vAlign w:val="center"/>
          </w:tcPr>
          <w:p w14:paraId="63E7ED46" w14:textId="77777777" w:rsidR="006A125D" w:rsidRDefault="00000000">
            <w:pPr>
              <w:keepNext/>
              <w:keepLines/>
              <w:spacing w:after="0" w:line="240" w:lineRule="auto"/>
              <w:jc w:val="right"/>
            </w:pPr>
            <w:r>
              <w:rPr>
                <w:sz w:val="18"/>
              </w:rPr>
              <w:t>322.000,00</w:t>
            </w:r>
          </w:p>
        </w:tc>
        <w:tc>
          <w:tcPr>
            <w:tcW w:w="1860" w:type="dxa"/>
            <w:tcMar>
              <w:top w:w="0" w:type="dxa"/>
              <w:bottom w:w="0" w:type="dxa"/>
            </w:tcMar>
            <w:vAlign w:val="center"/>
          </w:tcPr>
          <w:p w14:paraId="53867FEE" w14:textId="77777777" w:rsidR="006A125D" w:rsidRDefault="00000000">
            <w:pPr>
              <w:keepNext/>
              <w:keepLines/>
              <w:spacing w:after="0" w:line="240" w:lineRule="auto"/>
              <w:jc w:val="right"/>
            </w:pPr>
            <w:r>
              <w:rPr>
                <w:sz w:val="18"/>
              </w:rPr>
              <w:t>520.800,00</w:t>
            </w:r>
          </w:p>
        </w:tc>
        <w:tc>
          <w:tcPr>
            <w:tcW w:w="700" w:type="dxa"/>
            <w:tcMar>
              <w:top w:w="0" w:type="dxa"/>
              <w:bottom w:w="0" w:type="dxa"/>
            </w:tcMar>
            <w:vAlign w:val="center"/>
          </w:tcPr>
          <w:p w14:paraId="69E69DB5" w14:textId="77777777" w:rsidR="006A125D" w:rsidRDefault="00000000">
            <w:pPr>
              <w:keepNext/>
              <w:keepLines/>
              <w:spacing w:after="0" w:line="240" w:lineRule="auto"/>
              <w:jc w:val="right"/>
            </w:pPr>
            <w:r>
              <w:rPr>
                <w:sz w:val="18"/>
              </w:rPr>
              <w:t>161,7</w:t>
            </w:r>
          </w:p>
        </w:tc>
      </w:tr>
      <w:tr w:rsidR="006A125D" w14:paraId="76E15DEE" w14:textId="77777777">
        <w:tblPrEx>
          <w:tblCellMar>
            <w:top w:w="0" w:type="dxa"/>
            <w:bottom w:w="0" w:type="dxa"/>
          </w:tblCellMar>
        </w:tblPrEx>
        <w:trPr>
          <w:cantSplit/>
          <w:trHeight w:val="560"/>
        </w:trPr>
        <w:tc>
          <w:tcPr>
            <w:tcW w:w="700" w:type="dxa"/>
            <w:tcMar>
              <w:top w:w="0" w:type="dxa"/>
              <w:bottom w:w="0" w:type="dxa"/>
            </w:tcMar>
            <w:vAlign w:val="center"/>
          </w:tcPr>
          <w:p w14:paraId="75AFCF53" w14:textId="77777777" w:rsidR="006A125D" w:rsidRDefault="00000000">
            <w:pPr>
              <w:keepNext/>
              <w:keepLines/>
              <w:spacing w:after="0" w:line="240" w:lineRule="auto"/>
            </w:pPr>
            <w:r>
              <w:rPr>
                <w:sz w:val="18"/>
              </w:rPr>
              <w:t>4</w:t>
            </w:r>
          </w:p>
        </w:tc>
        <w:tc>
          <w:tcPr>
            <w:tcW w:w="3180" w:type="dxa"/>
            <w:tcMar>
              <w:top w:w="0" w:type="dxa"/>
              <w:bottom w:w="0" w:type="dxa"/>
            </w:tcMar>
            <w:vAlign w:val="center"/>
          </w:tcPr>
          <w:p w14:paraId="74B18E26" w14:textId="77777777" w:rsidR="006A125D" w:rsidRDefault="0000000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14:paraId="5AA73054" w14:textId="77777777" w:rsidR="006A125D" w:rsidRDefault="00000000">
            <w:pPr>
              <w:keepNext/>
              <w:keepLines/>
              <w:spacing w:after="0" w:line="240" w:lineRule="auto"/>
            </w:pPr>
            <w:r>
              <w:rPr>
                <w:sz w:val="18"/>
              </w:rPr>
              <w:t>4</w:t>
            </w:r>
          </w:p>
        </w:tc>
        <w:tc>
          <w:tcPr>
            <w:tcW w:w="1860" w:type="dxa"/>
            <w:tcMar>
              <w:top w:w="0" w:type="dxa"/>
              <w:bottom w:w="0" w:type="dxa"/>
            </w:tcMar>
            <w:vAlign w:val="center"/>
          </w:tcPr>
          <w:p w14:paraId="5AF5EF57" w14:textId="77777777" w:rsidR="006A125D" w:rsidRDefault="00000000">
            <w:pPr>
              <w:keepNext/>
              <w:keepLines/>
              <w:spacing w:after="0" w:line="240" w:lineRule="auto"/>
              <w:jc w:val="right"/>
            </w:pPr>
            <w:r>
              <w:rPr>
                <w:sz w:val="18"/>
              </w:rPr>
              <w:t>987.598,49</w:t>
            </w:r>
          </w:p>
        </w:tc>
        <w:tc>
          <w:tcPr>
            <w:tcW w:w="1860" w:type="dxa"/>
            <w:tcMar>
              <w:top w:w="0" w:type="dxa"/>
              <w:bottom w:w="0" w:type="dxa"/>
            </w:tcMar>
            <w:vAlign w:val="center"/>
          </w:tcPr>
          <w:p w14:paraId="27EBBADE" w14:textId="77777777" w:rsidR="006A125D" w:rsidRDefault="00000000">
            <w:pPr>
              <w:keepNext/>
              <w:keepLines/>
              <w:spacing w:after="0" w:line="240" w:lineRule="auto"/>
              <w:jc w:val="right"/>
            </w:pPr>
            <w:r>
              <w:rPr>
                <w:sz w:val="18"/>
              </w:rPr>
              <w:t>1.931.975,23</w:t>
            </w:r>
          </w:p>
        </w:tc>
        <w:tc>
          <w:tcPr>
            <w:tcW w:w="700" w:type="dxa"/>
            <w:tcMar>
              <w:top w:w="0" w:type="dxa"/>
              <w:bottom w:w="0" w:type="dxa"/>
            </w:tcMar>
            <w:vAlign w:val="center"/>
          </w:tcPr>
          <w:p w14:paraId="196C9D75" w14:textId="77777777" w:rsidR="006A125D" w:rsidRDefault="00000000">
            <w:pPr>
              <w:keepNext/>
              <w:keepLines/>
              <w:spacing w:after="0" w:line="240" w:lineRule="auto"/>
              <w:jc w:val="right"/>
            </w:pPr>
            <w:r>
              <w:rPr>
                <w:sz w:val="18"/>
              </w:rPr>
              <w:t>195,6</w:t>
            </w:r>
          </w:p>
        </w:tc>
      </w:tr>
      <w:tr w:rsidR="006A125D" w14:paraId="3AFE7D4C" w14:textId="77777777">
        <w:tblPrEx>
          <w:tblCellMar>
            <w:top w:w="0" w:type="dxa"/>
            <w:bottom w:w="0" w:type="dxa"/>
          </w:tblCellMar>
        </w:tblPrEx>
        <w:trPr>
          <w:cantSplit/>
          <w:trHeight w:val="560"/>
        </w:trPr>
        <w:tc>
          <w:tcPr>
            <w:tcW w:w="700" w:type="dxa"/>
            <w:tcMar>
              <w:top w:w="0" w:type="dxa"/>
              <w:bottom w:w="0" w:type="dxa"/>
            </w:tcMar>
            <w:vAlign w:val="center"/>
          </w:tcPr>
          <w:p w14:paraId="3EDD57CA" w14:textId="77777777" w:rsidR="006A125D" w:rsidRDefault="006A125D">
            <w:pPr>
              <w:keepNext/>
              <w:keepLines/>
              <w:spacing w:after="0" w:line="240" w:lineRule="auto"/>
            </w:pPr>
          </w:p>
        </w:tc>
        <w:tc>
          <w:tcPr>
            <w:tcW w:w="3180" w:type="dxa"/>
            <w:tcMar>
              <w:top w:w="0" w:type="dxa"/>
              <w:bottom w:w="0" w:type="dxa"/>
            </w:tcMar>
            <w:vAlign w:val="center"/>
          </w:tcPr>
          <w:p w14:paraId="4C7DC29D" w14:textId="77777777" w:rsidR="006A125D" w:rsidRDefault="00000000">
            <w:pPr>
              <w:keepNext/>
              <w:keepLines/>
              <w:spacing w:after="0" w:line="240" w:lineRule="auto"/>
            </w:pPr>
            <w:r>
              <w:rPr>
                <w:b/>
                <w:sz w:val="18"/>
              </w:rPr>
              <w:t>MANJAK PRIHODA OD NEFINANCIJSKE IMOVINE (šifre 4-7)</w:t>
            </w:r>
          </w:p>
        </w:tc>
        <w:tc>
          <w:tcPr>
            <w:tcW w:w="700" w:type="dxa"/>
            <w:tcMar>
              <w:top w:w="0" w:type="dxa"/>
              <w:bottom w:w="0" w:type="dxa"/>
            </w:tcMar>
            <w:vAlign w:val="center"/>
          </w:tcPr>
          <w:p w14:paraId="0F9FDFE6" w14:textId="77777777" w:rsidR="006A125D" w:rsidRDefault="00000000">
            <w:pPr>
              <w:keepNext/>
              <w:keepLines/>
              <w:spacing w:after="0" w:line="240" w:lineRule="auto"/>
            </w:pPr>
            <w:r>
              <w:rPr>
                <w:b/>
                <w:sz w:val="18"/>
              </w:rPr>
              <w:t>Y002</w:t>
            </w:r>
          </w:p>
        </w:tc>
        <w:tc>
          <w:tcPr>
            <w:tcW w:w="1860" w:type="dxa"/>
            <w:tcMar>
              <w:top w:w="0" w:type="dxa"/>
              <w:bottom w:w="0" w:type="dxa"/>
            </w:tcMar>
            <w:vAlign w:val="center"/>
          </w:tcPr>
          <w:p w14:paraId="035D2C63" w14:textId="77777777" w:rsidR="006A125D" w:rsidRDefault="00000000">
            <w:pPr>
              <w:keepNext/>
              <w:keepLines/>
              <w:spacing w:after="0" w:line="240" w:lineRule="auto"/>
              <w:jc w:val="right"/>
            </w:pPr>
            <w:r>
              <w:rPr>
                <w:b/>
                <w:sz w:val="18"/>
              </w:rPr>
              <w:t>665.598,49</w:t>
            </w:r>
          </w:p>
        </w:tc>
        <w:tc>
          <w:tcPr>
            <w:tcW w:w="1860" w:type="dxa"/>
            <w:tcMar>
              <w:top w:w="0" w:type="dxa"/>
              <w:bottom w:w="0" w:type="dxa"/>
            </w:tcMar>
            <w:vAlign w:val="center"/>
          </w:tcPr>
          <w:p w14:paraId="287C7D6D" w14:textId="77777777" w:rsidR="006A125D" w:rsidRDefault="00000000">
            <w:pPr>
              <w:keepNext/>
              <w:keepLines/>
              <w:spacing w:after="0" w:line="240" w:lineRule="auto"/>
              <w:jc w:val="right"/>
            </w:pPr>
            <w:r>
              <w:rPr>
                <w:b/>
                <w:sz w:val="18"/>
              </w:rPr>
              <w:t>1.411.175,23</w:t>
            </w:r>
          </w:p>
        </w:tc>
        <w:tc>
          <w:tcPr>
            <w:tcW w:w="700" w:type="dxa"/>
            <w:tcMar>
              <w:top w:w="0" w:type="dxa"/>
              <w:bottom w:w="0" w:type="dxa"/>
            </w:tcMar>
            <w:vAlign w:val="center"/>
          </w:tcPr>
          <w:p w14:paraId="4AE47F8F" w14:textId="77777777" w:rsidR="006A125D" w:rsidRDefault="00000000">
            <w:pPr>
              <w:keepNext/>
              <w:keepLines/>
              <w:spacing w:after="0" w:line="240" w:lineRule="auto"/>
              <w:jc w:val="right"/>
            </w:pPr>
            <w:r>
              <w:rPr>
                <w:b/>
                <w:sz w:val="18"/>
              </w:rPr>
              <w:t>212,0</w:t>
            </w:r>
          </w:p>
        </w:tc>
      </w:tr>
      <w:tr w:rsidR="006A125D" w14:paraId="353ED125" w14:textId="77777777">
        <w:tblPrEx>
          <w:tblCellMar>
            <w:top w:w="0" w:type="dxa"/>
            <w:bottom w:w="0" w:type="dxa"/>
          </w:tblCellMar>
        </w:tblPrEx>
        <w:trPr>
          <w:cantSplit/>
          <w:trHeight w:val="560"/>
        </w:trPr>
        <w:tc>
          <w:tcPr>
            <w:tcW w:w="700" w:type="dxa"/>
            <w:tcMar>
              <w:top w:w="0" w:type="dxa"/>
              <w:bottom w:w="0" w:type="dxa"/>
            </w:tcMar>
            <w:vAlign w:val="center"/>
          </w:tcPr>
          <w:p w14:paraId="5019991C" w14:textId="77777777" w:rsidR="006A125D" w:rsidRDefault="00000000">
            <w:pPr>
              <w:keepNext/>
              <w:keepLines/>
              <w:spacing w:after="0" w:line="240" w:lineRule="auto"/>
            </w:pPr>
            <w:r>
              <w:rPr>
                <w:sz w:val="18"/>
              </w:rPr>
              <w:t>8</w:t>
            </w:r>
          </w:p>
        </w:tc>
        <w:tc>
          <w:tcPr>
            <w:tcW w:w="3180" w:type="dxa"/>
            <w:tcMar>
              <w:top w:w="0" w:type="dxa"/>
              <w:bottom w:w="0" w:type="dxa"/>
            </w:tcMar>
            <w:vAlign w:val="center"/>
          </w:tcPr>
          <w:p w14:paraId="0113B279" w14:textId="77777777" w:rsidR="006A125D" w:rsidRDefault="0000000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14:paraId="6BB283A0" w14:textId="77777777" w:rsidR="006A125D" w:rsidRDefault="00000000">
            <w:pPr>
              <w:keepNext/>
              <w:keepLines/>
              <w:spacing w:after="0" w:line="240" w:lineRule="auto"/>
            </w:pPr>
            <w:r>
              <w:rPr>
                <w:sz w:val="18"/>
              </w:rPr>
              <w:t>8</w:t>
            </w:r>
          </w:p>
        </w:tc>
        <w:tc>
          <w:tcPr>
            <w:tcW w:w="1860" w:type="dxa"/>
            <w:tcMar>
              <w:top w:w="0" w:type="dxa"/>
              <w:bottom w:w="0" w:type="dxa"/>
            </w:tcMar>
            <w:vAlign w:val="center"/>
          </w:tcPr>
          <w:p w14:paraId="3A708FC1" w14:textId="77777777" w:rsidR="006A125D" w:rsidRDefault="00000000">
            <w:pPr>
              <w:keepNext/>
              <w:keepLines/>
              <w:spacing w:after="0" w:line="240" w:lineRule="auto"/>
              <w:jc w:val="right"/>
            </w:pPr>
            <w:r>
              <w:rPr>
                <w:sz w:val="18"/>
              </w:rPr>
              <w:t>687.500,00</w:t>
            </w:r>
          </w:p>
        </w:tc>
        <w:tc>
          <w:tcPr>
            <w:tcW w:w="1860" w:type="dxa"/>
            <w:tcMar>
              <w:top w:w="0" w:type="dxa"/>
              <w:bottom w:w="0" w:type="dxa"/>
            </w:tcMar>
            <w:vAlign w:val="center"/>
          </w:tcPr>
          <w:p w14:paraId="0B47C372" w14:textId="77777777" w:rsidR="006A125D" w:rsidRDefault="00000000">
            <w:pPr>
              <w:keepNext/>
              <w:keepLines/>
              <w:spacing w:after="0" w:line="240" w:lineRule="auto"/>
              <w:jc w:val="right"/>
            </w:pPr>
            <w:r>
              <w:rPr>
                <w:sz w:val="18"/>
              </w:rPr>
              <w:t>617.631,16</w:t>
            </w:r>
          </w:p>
        </w:tc>
        <w:tc>
          <w:tcPr>
            <w:tcW w:w="700" w:type="dxa"/>
            <w:tcMar>
              <w:top w:w="0" w:type="dxa"/>
              <w:bottom w:w="0" w:type="dxa"/>
            </w:tcMar>
            <w:vAlign w:val="center"/>
          </w:tcPr>
          <w:p w14:paraId="5B21A835" w14:textId="77777777" w:rsidR="006A125D" w:rsidRDefault="00000000">
            <w:pPr>
              <w:keepNext/>
              <w:keepLines/>
              <w:spacing w:after="0" w:line="240" w:lineRule="auto"/>
              <w:jc w:val="right"/>
            </w:pPr>
            <w:r>
              <w:rPr>
                <w:sz w:val="18"/>
              </w:rPr>
              <w:t>89,8</w:t>
            </w:r>
          </w:p>
        </w:tc>
      </w:tr>
      <w:tr w:rsidR="006A125D" w14:paraId="5FA4565F" w14:textId="77777777">
        <w:tblPrEx>
          <w:tblCellMar>
            <w:top w:w="0" w:type="dxa"/>
            <w:bottom w:w="0" w:type="dxa"/>
          </w:tblCellMar>
        </w:tblPrEx>
        <w:trPr>
          <w:cantSplit/>
          <w:trHeight w:val="560"/>
        </w:trPr>
        <w:tc>
          <w:tcPr>
            <w:tcW w:w="700" w:type="dxa"/>
            <w:tcMar>
              <w:top w:w="0" w:type="dxa"/>
              <w:bottom w:w="0" w:type="dxa"/>
            </w:tcMar>
            <w:vAlign w:val="center"/>
          </w:tcPr>
          <w:p w14:paraId="45EA54C1" w14:textId="77777777" w:rsidR="006A125D" w:rsidRDefault="00000000">
            <w:pPr>
              <w:keepNext/>
              <w:keepLines/>
              <w:spacing w:after="0" w:line="240" w:lineRule="auto"/>
            </w:pPr>
            <w:r>
              <w:rPr>
                <w:sz w:val="18"/>
              </w:rPr>
              <w:t>5</w:t>
            </w:r>
          </w:p>
        </w:tc>
        <w:tc>
          <w:tcPr>
            <w:tcW w:w="3180" w:type="dxa"/>
            <w:tcMar>
              <w:top w:w="0" w:type="dxa"/>
              <w:bottom w:w="0" w:type="dxa"/>
            </w:tcMar>
            <w:vAlign w:val="center"/>
          </w:tcPr>
          <w:p w14:paraId="49C2418F" w14:textId="77777777" w:rsidR="006A125D" w:rsidRDefault="0000000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14:paraId="3C59F5CC" w14:textId="77777777" w:rsidR="006A125D" w:rsidRDefault="00000000">
            <w:pPr>
              <w:keepNext/>
              <w:keepLines/>
              <w:spacing w:after="0" w:line="240" w:lineRule="auto"/>
            </w:pPr>
            <w:r>
              <w:rPr>
                <w:sz w:val="18"/>
              </w:rPr>
              <w:t>5</w:t>
            </w:r>
          </w:p>
        </w:tc>
        <w:tc>
          <w:tcPr>
            <w:tcW w:w="1860" w:type="dxa"/>
            <w:tcMar>
              <w:top w:w="0" w:type="dxa"/>
              <w:bottom w:w="0" w:type="dxa"/>
            </w:tcMar>
            <w:vAlign w:val="center"/>
          </w:tcPr>
          <w:p w14:paraId="62376DB2" w14:textId="77777777" w:rsidR="006A125D" w:rsidRDefault="00000000">
            <w:pPr>
              <w:keepNext/>
              <w:keepLines/>
              <w:spacing w:after="0" w:line="240" w:lineRule="auto"/>
              <w:jc w:val="right"/>
            </w:pPr>
            <w:r>
              <w:rPr>
                <w:sz w:val="18"/>
              </w:rPr>
              <w:t>1.221.498,83</w:t>
            </w:r>
          </w:p>
        </w:tc>
        <w:tc>
          <w:tcPr>
            <w:tcW w:w="1860" w:type="dxa"/>
            <w:tcMar>
              <w:top w:w="0" w:type="dxa"/>
              <w:bottom w:w="0" w:type="dxa"/>
            </w:tcMar>
            <w:vAlign w:val="center"/>
          </w:tcPr>
          <w:p w14:paraId="037836A9" w14:textId="77777777" w:rsidR="006A125D" w:rsidRDefault="00000000">
            <w:pPr>
              <w:keepNext/>
              <w:keepLines/>
              <w:spacing w:after="0" w:line="240" w:lineRule="auto"/>
              <w:jc w:val="right"/>
            </w:pPr>
            <w:r>
              <w:rPr>
                <w:sz w:val="18"/>
              </w:rPr>
              <w:t>315.679,14</w:t>
            </w:r>
          </w:p>
        </w:tc>
        <w:tc>
          <w:tcPr>
            <w:tcW w:w="700" w:type="dxa"/>
            <w:tcMar>
              <w:top w:w="0" w:type="dxa"/>
              <w:bottom w:w="0" w:type="dxa"/>
            </w:tcMar>
            <w:vAlign w:val="center"/>
          </w:tcPr>
          <w:p w14:paraId="35D5A193" w14:textId="77777777" w:rsidR="006A125D" w:rsidRDefault="00000000">
            <w:pPr>
              <w:keepNext/>
              <w:keepLines/>
              <w:spacing w:after="0" w:line="240" w:lineRule="auto"/>
              <w:jc w:val="right"/>
            </w:pPr>
            <w:r>
              <w:rPr>
                <w:sz w:val="18"/>
              </w:rPr>
              <w:t>25,8</w:t>
            </w:r>
          </w:p>
        </w:tc>
      </w:tr>
      <w:tr w:rsidR="006A125D" w14:paraId="2F131D91" w14:textId="77777777">
        <w:tblPrEx>
          <w:tblCellMar>
            <w:top w:w="0" w:type="dxa"/>
            <w:bottom w:w="0" w:type="dxa"/>
          </w:tblCellMar>
        </w:tblPrEx>
        <w:trPr>
          <w:cantSplit/>
          <w:trHeight w:val="560"/>
        </w:trPr>
        <w:tc>
          <w:tcPr>
            <w:tcW w:w="700" w:type="dxa"/>
            <w:tcMar>
              <w:top w:w="0" w:type="dxa"/>
              <w:bottom w:w="0" w:type="dxa"/>
            </w:tcMar>
            <w:vAlign w:val="center"/>
          </w:tcPr>
          <w:p w14:paraId="3E926FC6" w14:textId="77777777" w:rsidR="006A125D" w:rsidRDefault="006A125D">
            <w:pPr>
              <w:keepNext/>
              <w:keepLines/>
              <w:spacing w:after="0" w:line="240" w:lineRule="auto"/>
            </w:pPr>
          </w:p>
        </w:tc>
        <w:tc>
          <w:tcPr>
            <w:tcW w:w="3180" w:type="dxa"/>
            <w:tcMar>
              <w:top w:w="0" w:type="dxa"/>
              <w:bottom w:w="0" w:type="dxa"/>
            </w:tcMar>
            <w:vAlign w:val="center"/>
          </w:tcPr>
          <w:p w14:paraId="12D6E309" w14:textId="77777777" w:rsidR="006A125D" w:rsidRDefault="00000000">
            <w:pPr>
              <w:keepNext/>
              <w:keepLines/>
              <w:spacing w:after="0" w:line="240" w:lineRule="auto"/>
            </w:pPr>
            <w:r>
              <w:rPr>
                <w:b/>
                <w:sz w:val="18"/>
              </w:rPr>
              <w:t>VIŠAK PRIMITAKA OD FINANCIJSKE IMOVINE I ZADUŽIVANJA (šifre 8-5)</w:t>
            </w:r>
          </w:p>
        </w:tc>
        <w:tc>
          <w:tcPr>
            <w:tcW w:w="700" w:type="dxa"/>
            <w:tcMar>
              <w:top w:w="0" w:type="dxa"/>
              <w:bottom w:w="0" w:type="dxa"/>
            </w:tcMar>
            <w:vAlign w:val="center"/>
          </w:tcPr>
          <w:p w14:paraId="58D09D85" w14:textId="77777777" w:rsidR="006A125D" w:rsidRDefault="00000000">
            <w:pPr>
              <w:keepNext/>
              <w:keepLines/>
              <w:spacing w:after="0" w:line="240" w:lineRule="auto"/>
            </w:pPr>
            <w:r>
              <w:rPr>
                <w:b/>
                <w:sz w:val="18"/>
              </w:rPr>
              <w:t>X003</w:t>
            </w:r>
          </w:p>
        </w:tc>
        <w:tc>
          <w:tcPr>
            <w:tcW w:w="1860" w:type="dxa"/>
            <w:tcMar>
              <w:top w:w="0" w:type="dxa"/>
              <w:bottom w:w="0" w:type="dxa"/>
            </w:tcMar>
            <w:vAlign w:val="center"/>
          </w:tcPr>
          <w:p w14:paraId="5637DB92" w14:textId="77777777" w:rsidR="006A125D" w:rsidRDefault="00000000">
            <w:pPr>
              <w:keepNext/>
              <w:keepLines/>
              <w:spacing w:after="0" w:line="240" w:lineRule="auto"/>
              <w:jc w:val="right"/>
            </w:pPr>
            <w:r>
              <w:rPr>
                <w:b/>
                <w:sz w:val="18"/>
              </w:rPr>
              <w:t>0,00</w:t>
            </w:r>
          </w:p>
        </w:tc>
        <w:tc>
          <w:tcPr>
            <w:tcW w:w="1860" w:type="dxa"/>
            <w:tcMar>
              <w:top w:w="0" w:type="dxa"/>
              <w:bottom w:w="0" w:type="dxa"/>
            </w:tcMar>
            <w:vAlign w:val="center"/>
          </w:tcPr>
          <w:p w14:paraId="37EF4B3A" w14:textId="77777777" w:rsidR="006A125D" w:rsidRDefault="00000000">
            <w:pPr>
              <w:keepNext/>
              <w:keepLines/>
              <w:spacing w:after="0" w:line="240" w:lineRule="auto"/>
              <w:jc w:val="right"/>
            </w:pPr>
            <w:r>
              <w:rPr>
                <w:b/>
                <w:sz w:val="18"/>
              </w:rPr>
              <w:t>301.952,02</w:t>
            </w:r>
          </w:p>
        </w:tc>
        <w:tc>
          <w:tcPr>
            <w:tcW w:w="700" w:type="dxa"/>
            <w:tcMar>
              <w:top w:w="0" w:type="dxa"/>
              <w:bottom w:w="0" w:type="dxa"/>
            </w:tcMar>
            <w:vAlign w:val="center"/>
          </w:tcPr>
          <w:p w14:paraId="7225CC14" w14:textId="77777777" w:rsidR="006A125D" w:rsidRDefault="00000000">
            <w:pPr>
              <w:keepNext/>
              <w:keepLines/>
              <w:spacing w:after="0" w:line="240" w:lineRule="auto"/>
              <w:jc w:val="right"/>
            </w:pPr>
            <w:r>
              <w:rPr>
                <w:b/>
                <w:sz w:val="18"/>
              </w:rPr>
              <w:t>-</w:t>
            </w:r>
          </w:p>
        </w:tc>
      </w:tr>
      <w:tr w:rsidR="006A125D" w14:paraId="40C72040" w14:textId="77777777">
        <w:tblPrEx>
          <w:tblCellMar>
            <w:top w:w="0" w:type="dxa"/>
            <w:bottom w:w="0" w:type="dxa"/>
          </w:tblCellMar>
        </w:tblPrEx>
        <w:trPr>
          <w:cantSplit/>
          <w:trHeight w:val="560"/>
        </w:trPr>
        <w:tc>
          <w:tcPr>
            <w:tcW w:w="700" w:type="dxa"/>
            <w:tcMar>
              <w:top w:w="0" w:type="dxa"/>
              <w:bottom w:w="0" w:type="dxa"/>
            </w:tcMar>
            <w:vAlign w:val="center"/>
          </w:tcPr>
          <w:p w14:paraId="0B6218B9" w14:textId="77777777" w:rsidR="006A125D" w:rsidRDefault="006A125D">
            <w:pPr>
              <w:keepNext/>
              <w:keepLines/>
              <w:spacing w:after="0" w:line="240" w:lineRule="auto"/>
            </w:pPr>
          </w:p>
        </w:tc>
        <w:tc>
          <w:tcPr>
            <w:tcW w:w="3180" w:type="dxa"/>
            <w:tcMar>
              <w:top w:w="0" w:type="dxa"/>
              <w:bottom w:w="0" w:type="dxa"/>
            </w:tcMar>
            <w:vAlign w:val="center"/>
          </w:tcPr>
          <w:p w14:paraId="4D5B2AE7" w14:textId="77777777" w:rsidR="006A125D" w:rsidRDefault="00000000">
            <w:pPr>
              <w:keepNext/>
              <w:keepLines/>
              <w:spacing w:after="0" w:line="240" w:lineRule="auto"/>
            </w:pPr>
            <w:r>
              <w:rPr>
                <w:b/>
                <w:sz w:val="18"/>
              </w:rPr>
              <w:t>MANJAK PRIHODA I PRIMITAKA (šifre Y345-X678)</w:t>
            </w:r>
          </w:p>
        </w:tc>
        <w:tc>
          <w:tcPr>
            <w:tcW w:w="700" w:type="dxa"/>
            <w:tcMar>
              <w:top w:w="0" w:type="dxa"/>
              <w:bottom w:w="0" w:type="dxa"/>
            </w:tcMar>
            <w:vAlign w:val="center"/>
          </w:tcPr>
          <w:p w14:paraId="3D89B483" w14:textId="77777777" w:rsidR="006A125D" w:rsidRDefault="00000000">
            <w:pPr>
              <w:keepNext/>
              <w:keepLines/>
              <w:spacing w:after="0" w:line="240" w:lineRule="auto"/>
            </w:pPr>
            <w:r>
              <w:rPr>
                <w:b/>
                <w:sz w:val="18"/>
              </w:rPr>
              <w:t>Y005</w:t>
            </w:r>
          </w:p>
        </w:tc>
        <w:tc>
          <w:tcPr>
            <w:tcW w:w="1860" w:type="dxa"/>
            <w:tcMar>
              <w:top w:w="0" w:type="dxa"/>
              <w:bottom w:w="0" w:type="dxa"/>
            </w:tcMar>
            <w:vAlign w:val="center"/>
          </w:tcPr>
          <w:p w14:paraId="66DEE233" w14:textId="77777777" w:rsidR="006A125D" w:rsidRDefault="00000000">
            <w:pPr>
              <w:keepNext/>
              <w:keepLines/>
              <w:spacing w:after="0" w:line="240" w:lineRule="auto"/>
              <w:jc w:val="right"/>
            </w:pPr>
            <w:r>
              <w:rPr>
                <w:b/>
                <w:sz w:val="18"/>
              </w:rPr>
              <w:t>158.457,63</w:t>
            </w:r>
          </w:p>
        </w:tc>
        <w:tc>
          <w:tcPr>
            <w:tcW w:w="1860" w:type="dxa"/>
            <w:tcMar>
              <w:top w:w="0" w:type="dxa"/>
              <w:bottom w:w="0" w:type="dxa"/>
            </w:tcMar>
            <w:vAlign w:val="center"/>
          </w:tcPr>
          <w:p w14:paraId="0F98ABDA" w14:textId="77777777" w:rsidR="006A125D" w:rsidRDefault="00000000">
            <w:pPr>
              <w:keepNext/>
              <w:keepLines/>
              <w:spacing w:after="0" w:line="240" w:lineRule="auto"/>
              <w:jc w:val="right"/>
            </w:pPr>
            <w:r>
              <w:rPr>
                <w:b/>
                <w:sz w:val="18"/>
              </w:rPr>
              <w:t>1.046.072,87</w:t>
            </w:r>
          </w:p>
        </w:tc>
        <w:tc>
          <w:tcPr>
            <w:tcW w:w="700" w:type="dxa"/>
            <w:tcMar>
              <w:top w:w="0" w:type="dxa"/>
              <w:bottom w:w="0" w:type="dxa"/>
            </w:tcMar>
            <w:vAlign w:val="center"/>
          </w:tcPr>
          <w:p w14:paraId="6F057E31" w14:textId="77777777" w:rsidR="006A125D" w:rsidRDefault="00000000">
            <w:pPr>
              <w:keepNext/>
              <w:keepLines/>
              <w:spacing w:after="0" w:line="240" w:lineRule="auto"/>
              <w:jc w:val="right"/>
            </w:pPr>
            <w:r>
              <w:rPr>
                <w:b/>
                <w:sz w:val="18"/>
              </w:rPr>
              <w:t>660,2</w:t>
            </w:r>
          </w:p>
        </w:tc>
      </w:tr>
    </w:tbl>
    <w:p w14:paraId="322D1A3B" w14:textId="77777777" w:rsidR="006A125D" w:rsidRDefault="006A125D">
      <w:pPr>
        <w:spacing w:after="0"/>
      </w:pPr>
    </w:p>
    <w:p w14:paraId="07542141" w14:textId="77777777" w:rsidR="006A125D" w:rsidRDefault="00000000">
      <w:pPr>
        <w:spacing w:line="240" w:lineRule="auto"/>
        <w:jc w:val="both"/>
      </w:pPr>
      <w:r>
        <w:t xml:space="preserve">PRAVNI OKVIR  Temeljni zakon koji uređuje poslovanje obveznika primjene proračunskog računovodstva je Zakon o proračunu (NN  87/08, 136/12, 15/15, NN 144/21) Temeljni računovodstveni propisi proračunskog  računovodstva koji će se primjenjivati za 2025. godinu su </w:t>
      </w:r>
      <w:r>
        <w:t xml:space="preserve">    Pravilnik o proračunskom računovodstvu i računskom planu (NN  124/14, 115/15, 87/16, 3/18 i 126/19, 185/20, 158/23, 154/24) </w:t>
      </w:r>
      <w:r>
        <w:t xml:space="preserve">    Pravilnik o financijskom izvještavanju u proračunskom računovodstvu (NN  3/15, 93/15, 135/15, 2/17, 28/17, 112/18, 126/19 i 145/20 i 32/21, 37/22, 52/25) Uz temeljni  Zakon o proračunu, moraju se uvažavati i drugi zakoni </w:t>
      </w:r>
      <w:r>
        <w:lastRenderedPageBreak/>
        <w:t xml:space="preserve">koji određuju poslovanje proračuna i  proračunskih korisnika </w:t>
      </w:r>
      <w:r>
        <w:t xml:space="preserve">    Zakon o izvršavanju Državnog proračuna Republike Hrvatske za 2025. godinu (NN  117/19, 32/20, 42/20, 58/20,135/20, 140/21, 149/23, 149/24) </w:t>
      </w:r>
      <w:r>
        <w:t xml:space="preserve">    Pravilnik o proračunskim klasifikacijama (NN br. 26/10, 120/13, 1/20, 4/2024) </w:t>
      </w:r>
      <w:r>
        <w:t xml:space="preserve">    Pravilnik o utvrđivanju proračunskih i izvanproračunskih korisnika državnog proračuna i  proračunskih i izvanproračunskih korisnika proračuna jedinica lokalne i područne (regionalne) samouprave te o načinu vođenja registra proračunskih i izvanproračunskih korisnika (NN, br. 128/09, 142/14, 23/19 i 83/21) </w:t>
      </w:r>
      <w:r>
        <w:t xml:space="preserve">   Podaci iz Registra proračunskih i izvanproračunskih korisnika (NN br. 68/15, 50/16, 51/17, 51/18, 60/20) </w:t>
      </w:r>
      <w:r>
        <w:t>    Upute Ministarstva financija: Okružnica o predaji i konsolidaciji financijskih izvještaja proračuna, proračunskih i izvanproračunskih korisnika državnog proračuna te proračunskih i izvanproračunskih korisnika proračuna jedinica lokalne i područne (regionalne) samouprave za razdoblje 01. siječnja do 30. lipnja 2025. godine (KLASA: 400-02/25-01/14, URBROJ: 513-05-03-25-2 od 4. srpnja 2025.).</w:t>
      </w:r>
    </w:p>
    <w:p w14:paraId="418C6998" w14:textId="77777777" w:rsidR="006A125D" w:rsidRDefault="00000000">
      <w:r>
        <w:br/>
      </w:r>
    </w:p>
    <w:p w14:paraId="42BBC1C9" w14:textId="77777777" w:rsidR="006A125D" w:rsidRDefault="0000000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7D788D0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806267E"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EFF8DE2"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CF2F657"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5FE115E9"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9126F39"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341C6E8" w14:textId="77777777" w:rsidR="006A125D" w:rsidRDefault="00000000">
            <w:pPr>
              <w:keepNext/>
              <w:keepLines/>
              <w:spacing w:after="0" w:line="240" w:lineRule="auto"/>
              <w:jc w:val="center"/>
            </w:pPr>
            <w:r>
              <w:rPr>
                <w:b/>
                <w:sz w:val="18"/>
              </w:rPr>
              <w:t>Indeks (%)</w:t>
            </w:r>
          </w:p>
        </w:tc>
      </w:tr>
      <w:tr w:rsidR="006A125D" w14:paraId="7419DDD6" w14:textId="77777777">
        <w:tblPrEx>
          <w:tblCellMar>
            <w:top w:w="0" w:type="dxa"/>
            <w:bottom w:w="0" w:type="dxa"/>
          </w:tblCellMar>
        </w:tblPrEx>
        <w:trPr>
          <w:cantSplit/>
          <w:trHeight w:val="560"/>
        </w:trPr>
        <w:tc>
          <w:tcPr>
            <w:tcW w:w="700" w:type="dxa"/>
            <w:tcMar>
              <w:top w:w="0" w:type="dxa"/>
              <w:bottom w:w="0" w:type="dxa"/>
            </w:tcMar>
            <w:vAlign w:val="center"/>
          </w:tcPr>
          <w:p w14:paraId="14C6D162" w14:textId="77777777" w:rsidR="006A125D" w:rsidRDefault="00000000">
            <w:pPr>
              <w:keepNext/>
              <w:keepLines/>
              <w:spacing w:after="0" w:line="240" w:lineRule="auto"/>
            </w:pPr>
            <w:r>
              <w:rPr>
                <w:sz w:val="18"/>
              </w:rPr>
              <w:t>61</w:t>
            </w:r>
          </w:p>
        </w:tc>
        <w:tc>
          <w:tcPr>
            <w:tcW w:w="3180" w:type="dxa"/>
            <w:tcMar>
              <w:top w:w="0" w:type="dxa"/>
              <w:bottom w:w="0" w:type="dxa"/>
            </w:tcMar>
            <w:vAlign w:val="center"/>
          </w:tcPr>
          <w:p w14:paraId="2A5B6B0E" w14:textId="77777777" w:rsidR="006A125D" w:rsidRDefault="00000000">
            <w:pPr>
              <w:keepNext/>
              <w:keepLines/>
              <w:spacing w:after="0" w:line="240" w:lineRule="auto"/>
            </w:pPr>
            <w:r>
              <w:rPr>
                <w:sz w:val="18"/>
              </w:rPr>
              <w:t>Prihodi od poreza (šifre 611+612+613+614+615+616)</w:t>
            </w:r>
          </w:p>
        </w:tc>
        <w:tc>
          <w:tcPr>
            <w:tcW w:w="700" w:type="dxa"/>
            <w:tcMar>
              <w:top w:w="0" w:type="dxa"/>
              <w:bottom w:w="0" w:type="dxa"/>
            </w:tcMar>
            <w:vAlign w:val="center"/>
          </w:tcPr>
          <w:p w14:paraId="1026B262" w14:textId="77777777" w:rsidR="006A125D" w:rsidRDefault="00000000">
            <w:pPr>
              <w:keepNext/>
              <w:keepLines/>
              <w:spacing w:after="0" w:line="240" w:lineRule="auto"/>
            </w:pPr>
            <w:r>
              <w:rPr>
                <w:sz w:val="18"/>
              </w:rPr>
              <w:t>61</w:t>
            </w:r>
          </w:p>
        </w:tc>
        <w:tc>
          <w:tcPr>
            <w:tcW w:w="1860" w:type="dxa"/>
            <w:tcMar>
              <w:top w:w="0" w:type="dxa"/>
              <w:bottom w:w="0" w:type="dxa"/>
            </w:tcMar>
            <w:vAlign w:val="center"/>
          </w:tcPr>
          <w:p w14:paraId="37961937" w14:textId="77777777" w:rsidR="006A125D" w:rsidRDefault="00000000">
            <w:pPr>
              <w:keepNext/>
              <w:keepLines/>
              <w:spacing w:after="0" w:line="240" w:lineRule="auto"/>
              <w:jc w:val="right"/>
            </w:pPr>
            <w:r>
              <w:rPr>
                <w:sz w:val="18"/>
              </w:rPr>
              <w:t>1.728.968,49</w:t>
            </w:r>
          </w:p>
        </w:tc>
        <w:tc>
          <w:tcPr>
            <w:tcW w:w="1860" w:type="dxa"/>
            <w:tcMar>
              <w:top w:w="0" w:type="dxa"/>
              <w:bottom w:w="0" w:type="dxa"/>
            </w:tcMar>
            <w:vAlign w:val="center"/>
          </w:tcPr>
          <w:p w14:paraId="145234FD" w14:textId="77777777" w:rsidR="006A125D" w:rsidRDefault="00000000">
            <w:pPr>
              <w:keepNext/>
              <w:keepLines/>
              <w:spacing w:after="0" w:line="240" w:lineRule="auto"/>
              <w:jc w:val="right"/>
            </w:pPr>
            <w:r>
              <w:rPr>
                <w:sz w:val="18"/>
              </w:rPr>
              <w:t>1.889.409,12</w:t>
            </w:r>
          </w:p>
        </w:tc>
        <w:tc>
          <w:tcPr>
            <w:tcW w:w="700" w:type="dxa"/>
            <w:tcMar>
              <w:top w:w="0" w:type="dxa"/>
              <w:bottom w:w="0" w:type="dxa"/>
            </w:tcMar>
            <w:vAlign w:val="center"/>
          </w:tcPr>
          <w:p w14:paraId="30C797DE" w14:textId="77777777" w:rsidR="006A125D" w:rsidRDefault="00000000">
            <w:pPr>
              <w:keepNext/>
              <w:keepLines/>
              <w:spacing w:after="0" w:line="240" w:lineRule="auto"/>
              <w:jc w:val="right"/>
            </w:pPr>
            <w:r>
              <w:rPr>
                <w:sz w:val="18"/>
              </w:rPr>
              <w:t>109,3</w:t>
            </w:r>
          </w:p>
        </w:tc>
      </w:tr>
    </w:tbl>
    <w:p w14:paraId="1F6051CE" w14:textId="77777777" w:rsidR="006A125D" w:rsidRDefault="006A125D">
      <w:pPr>
        <w:spacing w:after="0"/>
      </w:pPr>
    </w:p>
    <w:p w14:paraId="4D2F1770" w14:textId="77777777" w:rsidR="006A125D" w:rsidRDefault="00000000">
      <w:pPr>
        <w:spacing w:line="240" w:lineRule="auto"/>
        <w:jc w:val="both"/>
      </w:pPr>
      <w:r>
        <w:t>Prihodi od poreza veći su za 109,3% u odnosu na prethodno razdoblje zbog povećanja minimalne plaće i većeg broja obveznika.</w:t>
      </w:r>
    </w:p>
    <w:p w14:paraId="22A30818" w14:textId="77777777" w:rsidR="006A125D" w:rsidRDefault="006A125D"/>
    <w:p w14:paraId="637A437A" w14:textId="77777777" w:rsidR="006A125D" w:rsidRDefault="0000000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248FAFD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47B9974"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4BAD3D3"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E5D39F1"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84A8CC"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14C5036"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ADE0A3" w14:textId="77777777" w:rsidR="006A125D" w:rsidRDefault="00000000">
            <w:pPr>
              <w:keepNext/>
              <w:keepLines/>
              <w:spacing w:after="0" w:line="240" w:lineRule="auto"/>
              <w:jc w:val="center"/>
            </w:pPr>
            <w:r>
              <w:rPr>
                <w:b/>
                <w:sz w:val="18"/>
              </w:rPr>
              <w:t>Indeks (%)</w:t>
            </w:r>
          </w:p>
        </w:tc>
      </w:tr>
      <w:tr w:rsidR="006A125D" w14:paraId="41703B8F" w14:textId="77777777">
        <w:tblPrEx>
          <w:tblCellMar>
            <w:top w:w="0" w:type="dxa"/>
            <w:bottom w:w="0" w:type="dxa"/>
          </w:tblCellMar>
        </w:tblPrEx>
        <w:trPr>
          <w:cantSplit/>
          <w:trHeight w:val="560"/>
        </w:trPr>
        <w:tc>
          <w:tcPr>
            <w:tcW w:w="700" w:type="dxa"/>
            <w:tcMar>
              <w:top w:w="0" w:type="dxa"/>
              <w:bottom w:w="0" w:type="dxa"/>
            </w:tcMar>
            <w:vAlign w:val="center"/>
          </w:tcPr>
          <w:p w14:paraId="3758E6A1" w14:textId="77777777" w:rsidR="006A125D" w:rsidRDefault="00000000">
            <w:pPr>
              <w:keepNext/>
              <w:keepLines/>
              <w:spacing w:after="0" w:line="240" w:lineRule="auto"/>
            </w:pPr>
            <w:r>
              <w:rPr>
                <w:sz w:val="18"/>
              </w:rPr>
              <w:t>633</w:t>
            </w:r>
          </w:p>
        </w:tc>
        <w:tc>
          <w:tcPr>
            <w:tcW w:w="3180" w:type="dxa"/>
            <w:tcMar>
              <w:top w:w="0" w:type="dxa"/>
              <w:bottom w:w="0" w:type="dxa"/>
            </w:tcMar>
            <w:vAlign w:val="center"/>
          </w:tcPr>
          <w:p w14:paraId="68947212" w14:textId="77777777" w:rsidR="006A125D" w:rsidRDefault="00000000">
            <w:pPr>
              <w:keepNext/>
              <w:keepLines/>
              <w:spacing w:after="0" w:line="240" w:lineRule="auto"/>
            </w:pPr>
            <w:r>
              <w:rPr>
                <w:sz w:val="18"/>
              </w:rPr>
              <w:t>Pomoći proračunu i izvanproračunskim korisnicima iz drugih proračuna (šifre 6331+6332)</w:t>
            </w:r>
          </w:p>
        </w:tc>
        <w:tc>
          <w:tcPr>
            <w:tcW w:w="700" w:type="dxa"/>
            <w:tcMar>
              <w:top w:w="0" w:type="dxa"/>
              <w:bottom w:w="0" w:type="dxa"/>
            </w:tcMar>
            <w:vAlign w:val="center"/>
          </w:tcPr>
          <w:p w14:paraId="21E91699" w14:textId="77777777" w:rsidR="006A125D" w:rsidRDefault="00000000">
            <w:pPr>
              <w:keepNext/>
              <w:keepLines/>
              <w:spacing w:after="0" w:line="240" w:lineRule="auto"/>
            </w:pPr>
            <w:r>
              <w:rPr>
                <w:sz w:val="18"/>
              </w:rPr>
              <w:t>633</w:t>
            </w:r>
          </w:p>
        </w:tc>
        <w:tc>
          <w:tcPr>
            <w:tcW w:w="1860" w:type="dxa"/>
            <w:tcMar>
              <w:top w:w="0" w:type="dxa"/>
              <w:bottom w:w="0" w:type="dxa"/>
            </w:tcMar>
            <w:vAlign w:val="center"/>
          </w:tcPr>
          <w:p w14:paraId="0614C14E" w14:textId="77777777" w:rsidR="006A125D" w:rsidRDefault="00000000">
            <w:pPr>
              <w:keepNext/>
              <w:keepLines/>
              <w:spacing w:after="0" w:line="240" w:lineRule="auto"/>
              <w:jc w:val="right"/>
            </w:pPr>
            <w:r>
              <w:rPr>
                <w:sz w:val="18"/>
              </w:rPr>
              <w:t>870.296,67</w:t>
            </w:r>
          </w:p>
        </w:tc>
        <w:tc>
          <w:tcPr>
            <w:tcW w:w="1860" w:type="dxa"/>
            <w:tcMar>
              <w:top w:w="0" w:type="dxa"/>
              <w:bottom w:w="0" w:type="dxa"/>
            </w:tcMar>
            <w:vAlign w:val="center"/>
          </w:tcPr>
          <w:p w14:paraId="65487904" w14:textId="77777777" w:rsidR="006A125D" w:rsidRDefault="00000000">
            <w:pPr>
              <w:keepNext/>
              <w:keepLines/>
              <w:spacing w:after="0" w:line="240" w:lineRule="auto"/>
              <w:jc w:val="right"/>
            </w:pPr>
            <w:r>
              <w:rPr>
                <w:sz w:val="18"/>
              </w:rPr>
              <w:t>154.634,35</w:t>
            </w:r>
          </w:p>
        </w:tc>
        <w:tc>
          <w:tcPr>
            <w:tcW w:w="700" w:type="dxa"/>
            <w:tcMar>
              <w:top w:w="0" w:type="dxa"/>
              <w:bottom w:w="0" w:type="dxa"/>
            </w:tcMar>
            <w:vAlign w:val="center"/>
          </w:tcPr>
          <w:p w14:paraId="28578AB0" w14:textId="77777777" w:rsidR="006A125D" w:rsidRDefault="00000000">
            <w:pPr>
              <w:keepNext/>
              <w:keepLines/>
              <w:spacing w:after="0" w:line="240" w:lineRule="auto"/>
              <w:jc w:val="right"/>
            </w:pPr>
            <w:r>
              <w:rPr>
                <w:sz w:val="18"/>
              </w:rPr>
              <w:t>17,8</w:t>
            </w:r>
          </w:p>
        </w:tc>
      </w:tr>
    </w:tbl>
    <w:p w14:paraId="09A9AA94" w14:textId="77777777" w:rsidR="006A125D" w:rsidRDefault="006A125D">
      <w:pPr>
        <w:spacing w:after="0"/>
      </w:pPr>
    </w:p>
    <w:p w14:paraId="4D01AA22" w14:textId="77777777" w:rsidR="006A125D" w:rsidRDefault="00000000">
      <w:pPr>
        <w:spacing w:line="240" w:lineRule="auto"/>
        <w:jc w:val="both"/>
      </w:pPr>
      <w:r>
        <w:t xml:space="preserve">Pomoći proračunu i izvanproračunskim korisnicima iz drugih proračuna za ovo izvještajno razdoblje su 154.634,35 eura. Iznos je manji u odnosu na isto razdoblje iz prethodne godine iz razloga: -u 2024. ovdje su knjižene Pomoći fiskalnog izravnanja i Fiskalna održivost dječjih vrtića u ukupnom iznosu 840.010,67, po Sporazumu za košnju trave 2.654,00 eura i kapitalne pomoći za dječje igralište i ulaganja u sportsku opremu u iznosu 27.632,00 </w:t>
      </w:r>
      <w:proofErr w:type="spellStart"/>
      <w:r>
        <w:t>eur</w:t>
      </w:r>
      <w:proofErr w:type="spellEnd"/>
      <w:r>
        <w:t xml:space="preserve"> -u 2025. knjižene su pomoći za funkcionalno spajanje (GPP) 27.238,50 eura, Fiskalna održivost dječjih vrtića u iznosu 118.098,00 eura, te pomoći iz županijskog proračuna po Sporazumu za košnju trave 2.654,00 i sredstva za rad biračkih odbora 6.643,85 eura. U 2025. godini pomoći fiskalnog izravnanja knjižene su na konto 6353.</w:t>
      </w:r>
    </w:p>
    <w:p w14:paraId="53E8C74C" w14:textId="77777777" w:rsidR="006A125D" w:rsidRDefault="006A125D"/>
    <w:p w14:paraId="24328C7F" w14:textId="77777777" w:rsidR="006A125D" w:rsidRDefault="00000000">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3FF55A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244AE77"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FE5EC43"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2A5A8CC"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8496782"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314D86B"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1BF53D1" w14:textId="77777777" w:rsidR="006A125D" w:rsidRDefault="00000000">
            <w:pPr>
              <w:keepNext/>
              <w:keepLines/>
              <w:spacing w:after="0" w:line="240" w:lineRule="auto"/>
              <w:jc w:val="center"/>
            </w:pPr>
            <w:r>
              <w:rPr>
                <w:b/>
                <w:sz w:val="18"/>
              </w:rPr>
              <w:t>Indeks (%)</w:t>
            </w:r>
          </w:p>
        </w:tc>
      </w:tr>
      <w:tr w:rsidR="006A125D" w14:paraId="0DCFCB7D" w14:textId="77777777">
        <w:tblPrEx>
          <w:tblCellMar>
            <w:top w:w="0" w:type="dxa"/>
            <w:bottom w:w="0" w:type="dxa"/>
          </w:tblCellMar>
        </w:tblPrEx>
        <w:trPr>
          <w:cantSplit/>
          <w:trHeight w:val="560"/>
        </w:trPr>
        <w:tc>
          <w:tcPr>
            <w:tcW w:w="700" w:type="dxa"/>
            <w:tcMar>
              <w:top w:w="0" w:type="dxa"/>
              <w:bottom w:w="0" w:type="dxa"/>
            </w:tcMar>
            <w:vAlign w:val="center"/>
          </w:tcPr>
          <w:p w14:paraId="558715D5" w14:textId="77777777" w:rsidR="006A125D" w:rsidRDefault="00000000">
            <w:pPr>
              <w:keepNext/>
              <w:keepLines/>
              <w:spacing w:after="0" w:line="240" w:lineRule="auto"/>
            </w:pPr>
            <w:r>
              <w:rPr>
                <w:sz w:val="18"/>
              </w:rPr>
              <w:t>634</w:t>
            </w:r>
          </w:p>
        </w:tc>
        <w:tc>
          <w:tcPr>
            <w:tcW w:w="3180" w:type="dxa"/>
            <w:tcMar>
              <w:top w:w="0" w:type="dxa"/>
              <w:bottom w:w="0" w:type="dxa"/>
            </w:tcMar>
            <w:vAlign w:val="center"/>
          </w:tcPr>
          <w:p w14:paraId="3A5D5E80" w14:textId="77777777" w:rsidR="006A125D" w:rsidRDefault="00000000">
            <w:pPr>
              <w:keepNext/>
              <w:keepLines/>
              <w:spacing w:after="0" w:line="240" w:lineRule="auto"/>
            </w:pPr>
            <w:r>
              <w:rPr>
                <w:sz w:val="18"/>
              </w:rPr>
              <w:t>Pomoći od izvanproračunskih korisnika (šifre 6341+6342)</w:t>
            </w:r>
          </w:p>
        </w:tc>
        <w:tc>
          <w:tcPr>
            <w:tcW w:w="700" w:type="dxa"/>
            <w:tcMar>
              <w:top w:w="0" w:type="dxa"/>
              <w:bottom w:w="0" w:type="dxa"/>
            </w:tcMar>
            <w:vAlign w:val="center"/>
          </w:tcPr>
          <w:p w14:paraId="2AFF3156" w14:textId="77777777" w:rsidR="006A125D" w:rsidRDefault="00000000">
            <w:pPr>
              <w:keepNext/>
              <w:keepLines/>
              <w:spacing w:after="0" w:line="240" w:lineRule="auto"/>
            </w:pPr>
            <w:r>
              <w:rPr>
                <w:sz w:val="18"/>
              </w:rPr>
              <w:t>634</w:t>
            </w:r>
          </w:p>
        </w:tc>
        <w:tc>
          <w:tcPr>
            <w:tcW w:w="1860" w:type="dxa"/>
            <w:tcMar>
              <w:top w:w="0" w:type="dxa"/>
              <w:bottom w:w="0" w:type="dxa"/>
            </w:tcMar>
            <w:vAlign w:val="center"/>
          </w:tcPr>
          <w:p w14:paraId="1B148C1B" w14:textId="77777777" w:rsidR="006A125D" w:rsidRDefault="00000000">
            <w:pPr>
              <w:keepNext/>
              <w:keepLines/>
              <w:spacing w:after="0" w:line="240" w:lineRule="auto"/>
              <w:jc w:val="right"/>
            </w:pPr>
            <w:r>
              <w:rPr>
                <w:sz w:val="18"/>
              </w:rPr>
              <w:t>0,00</w:t>
            </w:r>
          </w:p>
        </w:tc>
        <w:tc>
          <w:tcPr>
            <w:tcW w:w="1860" w:type="dxa"/>
            <w:tcMar>
              <w:top w:w="0" w:type="dxa"/>
              <w:bottom w:w="0" w:type="dxa"/>
            </w:tcMar>
            <w:vAlign w:val="center"/>
          </w:tcPr>
          <w:p w14:paraId="7E4FB5CE" w14:textId="77777777" w:rsidR="006A125D" w:rsidRDefault="00000000">
            <w:pPr>
              <w:keepNext/>
              <w:keepLines/>
              <w:spacing w:after="0" w:line="240" w:lineRule="auto"/>
              <w:jc w:val="right"/>
            </w:pPr>
            <w:r>
              <w:rPr>
                <w:sz w:val="18"/>
              </w:rPr>
              <w:t>20.631,45</w:t>
            </w:r>
          </w:p>
        </w:tc>
        <w:tc>
          <w:tcPr>
            <w:tcW w:w="700" w:type="dxa"/>
            <w:tcMar>
              <w:top w:w="0" w:type="dxa"/>
              <w:bottom w:w="0" w:type="dxa"/>
            </w:tcMar>
            <w:vAlign w:val="center"/>
          </w:tcPr>
          <w:p w14:paraId="52FEA369" w14:textId="77777777" w:rsidR="006A125D" w:rsidRDefault="00000000">
            <w:pPr>
              <w:keepNext/>
              <w:keepLines/>
              <w:spacing w:after="0" w:line="240" w:lineRule="auto"/>
              <w:jc w:val="right"/>
            </w:pPr>
            <w:r>
              <w:rPr>
                <w:sz w:val="18"/>
              </w:rPr>
              <w:t>-</w:t>
            </w:r>
          </w:p>
        </w:tc>
      </w:tr>
    </w:tbl>
    <w:p w14:paraId="77BE33CD" w14:textId="77777777" w:rsidR="006A125D" w:rsidRDefault="006A125D">
      <w:pPr>
        <w:spacing w:after="0"/>
      </w:pPr>
    </w:p>
    <w:p w14:paraId="56D644EB" w14:textId="77777777" w:rsidR="006A125D" w:rsidRDefault="00000000">
      <w:pPr>
        <w:spacing w:line="240" w:lineRule="auto"/>
        <w:jc w:val="both"/>
      </w:pPr>
      <w:r>
        <w:t>Iznos od 20.631,45 eura odnosi se na pomoći od Hrvatskog zavoda za zapošljavanje za javne radove.</w:t>
      </w:r>
    </w:p>
    <w:p w14:paraId="751ED88A" w14:textId="77777777" w:rsidR="006A125D" w:rsidRDefault="006A125D"/>
    <w:p w14:paraId="3B6618EC" w14:textId="77777777" w:rsidR="006A125D" w:rsidRDefault="0000000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342FF33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6D6FA10"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04419F9"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FA516FD"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B6F9DDC"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407D25F"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B1E4AFF" w14:textId="77777777" w:rsidR="006A125D" w:rsidRDefault="00000000">
            <w:pPr>
              <w:keepNext/>
              <w:keepLines/>
              <w:spacing w:after="0" w:line="240" w:lineRule="auto"/>
              <w:jc w:val="center"/>
            </w:pPr>
            <w:r>
              <w:rPr>
                <w:b/>
                <w:sz w:val="18"/>
              </w:rPr>
              <w:t>Indeks (%)</w:t>
            </w:r>
          </w:p>
        </w:tc>
      </w:tr>
      <w:tr w:rsidR="006A125D" w14:paraId="234F78A6" w14:textId="77777777">
        <w:tblPrEx>
          <w:tblCellMar>
            <w:top w:w="0" w:type="dxa"/>
            <w:bottom w:w="0" w:type="dxa"/>
          </w:tblCellMar>
        </w:tblPrEx>
        <w:trPr>
          <w:cantSplit/>
          <w:trHeight w:val="560"/>
        </w:trPr>
        <w:tc>
          <w:tcPr>
            <w:tcW w:w="700" w:type="dxa"/>
            <w:tcMar>
              <w:top w:w="0" w:type="dxa"/>
              <w:bottom w:w="0" w:type="dxa"/>
            </w:tcMar>
            <w:vAlign w:val="center"/>
          </w:tcPr>
          <w:p w14:paraId="2E92C2B3" w14:textId="77777777" w:rsidR="006A125D" w:rsidRDefault="00000000">
            <w:pPr>
              <w:keepNext/>
              <w:keepLines/>
              <w:spacing w:after="0" w:line="240" w:lineRule="auto"/>
            </w:pPr>
            <w:r>
              <w:rPr>
                <w:sz w:val="18"/>
              </w:rPr>
              <w:t>635</w:t>
            </w:r>
          </w:p>
        </w:tc>
        <w:tc>
          <w:tcPr>
            <w:tcW w:w="3180" w:type="dxa"/>
            <w:tcMar>
              <w:top w:w="0" w:type="dxa"/>
              <w:bottom w:w="0" w:type="dxa"/>
            </w:tcMar>
            <w:vAlign w:val="center"/>
          </w:tcPr>
          <w:p w14:paraId="4F442392" w14:textId="77777777" w:rsidR="006A125D" w:rsidRDefault="00000000">
            <w:pPr>
              <w:keepNext/>
              <w:keepLines/>
              <w:spacing w:after="0" w:line="240" w:lineRule="auto"/>
            </w:pPr>
            <w:r>
              <w:rPr>
                <w:sz w:val="18"/>
              </w:rPr>
              <w:t>Pomoći izravnanja za decentralizirane funkcije i fiskalnog izravnanja (šifre 6351 do 6353)</w:t>
            </w:r>
          </w:p>
        </w:tc>
        <w:tc>
          <w:tcPr>
            <w:tcW w:w="700" w:type="dxa"/>
            <w:tcMar>
              <w:top w:w="0" w:type="dxa"/>
              <w:bottom w:w="0" w:type="dxa"/>
            </w:tcMar>
            <w:vAlign w:val="center"/>
          </w:tcPr>
          <w:p w14:paraId="04156A04" w14:textId="77777777" w:rsidR="006A125D" w:rsidRDefault="00000000">
            <w:pPr>
              <w:keepNext/>
              <w:keepLines/>
              <w:spacing w:after="0" w:line="240" w:lineRule="auto"/>
            </w:pPr>
            <w:r>
              <w:rPr>
                <w:sz w:val="18"/>
              </w:rPr>
              <w:t>635</w:t>
            </w:r>
          </w:p>
        </w:tc>
        <w:tc>
          <w:tcPr>
            <w:tcW w:w="1860" w:type="dxa"/>
            <w:tcMar>
              <w:top w:w="0" w:type="dxa"/>
              <w:bottom w:w="0" w:type="dxa"/>
            </w:tcMar>
            <w:vAlign w:val="center"/>
          </w:tcPr>
          <w:p w14:paraId="4490C3FD" w14:textId="77777777" w:rsidR="006A125D" w:rsidRDefault="00000000">
            <w:pPr>
              <w:keepNext/>
              <w:keepLines/>
              <w:spacing w:after="0" w:line="240" w:lineRule="auto"/>
              <w:jc w:val="right"/>
            </w:pPr>
            <w:r>
              <w:rPr>
                <w:sz w:val="18"/>
              </w:rPr>
              <w:t>92.178,58</w:t>
            </w:r>
          </w:p>
        </w:tc>
        <w:tc>
          <w:tcPr>
            <w:tcW w:w="1860" w:type="dxa"/>
            <w:tcMar>
              <w:top w:w="0" w:type="dxa"/>
              <w:bottom w:w="0" w:type="dxa"/>
            </w:tcMar>
            <w:vAlign w:val="center"/>
          </w:tcPr>
          <w:p w14:paraId="00BBA505" w14:textId="77777777" w:rsidR="006A125D" w:rsidRDefault="00000000">
            <w:pPr>
              <w:keepNext/>
              <w:keepLines/>
              <w:spacing w:after="0" w:line="240" w:lineRule="auto"/>
              <w:jc w:val="right"/>
            </w:pPr>
            <w:r>
              <w:rPr>
                <w:sz w:val="18"/>
              </w:rPr>
              <w:t>901.615,22</w:t>
            </w:r>
          </w:p>
        </w:tc>
        <w:tc>
          <w:tcPr>
            <w:tcW w:w="700" w:type="dxa"/>
            <w:tcMar>
              <w:top w:w="0" w:type="dxa"/>
              <w:bottom w:w="0" w:type="dxa"/>
            </w:tcMar>
            <w:vAlign w:val="center"/>
          </w:tcPr>
          <w:p w14:paraId="39B657B4" w14:textId="77777777" w:rsidR="006A125D" w:rsidRDefault="00000000">
            <w:pPr>
              <w:keepNext/>
              <w:keepLines/>
              <w:spacing w:after="0" w:line="240" w:lineRule="auto"/>
              <w:jc w:val="right"/>
            </w:pPr>
            <w:r>
              <w:rPr>
                <w:sz w:val="18"/>
              </w:rPr>
              <w:t>978,1</w:t>
            </w:r>
          </w:p>
        </w:tc>
      </w:tr>
    </w:tbl>
    <w:p w14:paraId="3AD43898" w14:textId="77777777" w:rsidR="006A125D" w:rsidRDefault="006A125D">
      <w:pPr>
        <w:spacing w:after="0"/>
      </w:pPr>
    </w:p>
    <w:p w14:paraId="7A8BF336" w14:textId="77777777" w:rsidR="006A125D" w:rsidRDefault="00000000">
      <w:pPr>
        <w:spacing w:line="240" w:lineRule="auto"/>
        <w:jc w:val="both"/>
      </w:pPr>
      <w:r>
        <w:t>U 2024. godini na skupinu 635 knjižene su pomoći za decentralizirane funkcije i iznose 92.178,58 eura, a u 2025. pomoći za decentralizirane funkcije iznose 93.500,00 eura, te su na ovu skupinu knjižene i Pomoći fiskalnog izravnanja u iznosu 808.115,22 eura.</w:t>
      </w:r>
    </w:p>
    <w:p w14:paraId="65FE5035" w14:textId="77777777" w:rsidR="006A125D" w:rsidRDefault="006A125D"/>
    <w:p w14:paraId="6857E92D" w14:textId="77777777" w:rsidR="006A125D" w:rsidRDefault="0000000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09448BEC"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996115"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A2E0E2A"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E22931"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652FEAA"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9008CA3"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5200AA1" w14:textId="77777777" w:rsidR="006A125D" w:rsidRDefault="00000000">
            <w:pPr>
              <w:keepNext/>
              <w:keepLines/>
              <w:spacing w:after="0" w:line="240" w:lineRule="auto"/>
              <w:jc w:val="center"/>
            </w:pPr>
            <w:r>
              <w:rPr>
                <w:b/>
                <w:sz w:val="18"/>
              </w:rPr>
              <w:t>Indeks (%)</w:t>
            </w:r>
          </w:p>
        </w:tc>
      </w:tr>
      <w:tr w:rsidR="006A125D" w14:paraId="3065FE4A" w14:textId="77777777">
        <w:tblPrEx>
          <w:tblCellMar>
            <w:top w:w="0" w:type="dxa"/>
            <w:bottom w:w="0" w:type="dxa"/>
          </w:tblCellMar>
        </w:tblPrEx>
        <w:trPr>
          <w:cantSplit/>
          <w:trHeight w:val="560"/>
        </w:trPr>
        <w:tc>
          <w:tcPr>
            <w:tcW w:w="700" w:type="dxa"/>
            <w:tcMar>
              <w:top w:w="0" w:type="dxa"/>
              <w:bottom w:w="0" w:type="dxa"/>
            </w:tcMar>
            <w:vAlign w:val="center"/>
          </w:tcPr>
          <w:p w14:paraId="25B89083" w14:textId="77777777" w:rsidR="006A125D" w:rsidRDefault="00000000">
            <w:pPr>
              <w:keepNext/>
              <w:keepLines/>
              <w:spacing w:after="0" w:line="240" w:lineRule="auto"/>
            </w:pPr>
            <w:r>
              <w:rPr>
                <w:sz w:val="18"/>
              </w:rPr>
              <w:t>638</w:t>
            </w:r>
          </w:p>
        </w:tc>
        <w:tc>
          <w:tcPr>
            <w:tcW w:w="3180" w:type="dxa"/>
            <w:tcMar>
              <w:top w:w="0" w:type="dxa"/>
              <w:bottom w:w="0" w:type="dxa"/>
            </w:tcMar>
            <w:vAlign w:val="center"/>
          </w:tcPr>
          <w:p w14:paraId="348CB8C6" w14:textId="77777777" w:rsidR="006A125D" w:rsidRDefault="00000000">
            <w:pPr>
              <w:keepNext/>
              <w:keepLines/>
              <w:spacing w:after="0" w:line="240" w:lineRule="auto"/>
            </w:pPr>
            <w:r>
              <w:rPr>
                <w:sz w:val="18"/>
              </w:rPr>
              <w:t>Pomoći temeljem prijenosa EU sredstava (šifre 6381+6382)</w:t>
            </w:r>
          </w:p>
        </w:tc>
        <w:tc>
          <w:tcPr>
            <w:tcW w:w="700" w:type="dxa"/>
            <w:tcMar>
              <w:top w:w="0" w:type="dxa"/>
              <w:bottom w:w="0" w:type="dxa"/>
            </w:tcMar>
            <w:vAlign w:val="center"/>
          </w:tcPr>
          <w:p w14:paraId="15994CD6" w14:textId="77777777" w:rsidR="006A125D" w:rsidRDefault="00000000">
            <w:pPr>
              <w:keepNext/>
              <w:keepLines/>
              <w:spacing w:after="0" w:line="240" w:lineRule="auto"/>
            </w:pPr>
            <w:r>
              <w:rPr>
                <w:sz w:val="18"/>
              </w:rPr>
              <w:t>638</w:t>
            </w:r>
          </w:p>
        </w:tc>
        <w:tc>
          <w:tcPr>
            <w:tcW w:w="1860" w:type="dxa"/>
            <w:tcMar>
              <w:top w:w="0" w:type="dxa"/>
              <w:bottom w:w="0" w:type="dxa"/>
            </w:tcMar>
            <w:vAlign w:val="center"/>
          </w:tcPr>
          <w:p w14:paraId="35257D78" w14:textId="77777777" w:rsidR="006A125D" w:rsidRDefault="00000000">
            <w:pPr>
              <w:keepNext/>
              <w:keepLines/>
              <w:spacing w:after="0" w:line="240" w:lineRule="auto"/>
              <w:jc w:val="right"/>
            </w:pPr>
            <w:r>
              <w:rPr>
                <w:sz w:val="18"/>
              </w:rPr>
              <w:t>278.822,87</w:t>
            </w:r>
          </w:p>
        </w:tc>
        <w:tc>
          <w:tcPr>
            <w:tcW w:w="1860" w:type="dxa"/>
            <w:tcMar>
              <w:top w:w="0" w:type="dxa"/>
              <w:bottom w:w="0" w:type="dxa"/>
            </w:tcMar>
            <w:vAlign w:val="center"/>
          </w:tcPr>
          <w:p w14:paraId="7A4B2242" w14:textId="77777777" w:rsidR="006A125D" w:rsidRDefault="00000000">
            <w:pPr>
              <w:keepNext/>
              <w:keepLines/>
              <w:spacing w:after="0" w:line="240" w:lineRule="auto"/>
              <w:jc w:val="right"/>
            </w:pPr>
            <w:r>
              <w:rPr>
                <w:sz w:val="18"/>
              </w:rPr>
              <w:t>292.361,74</w:t>
            </w:r>
          </w:p>
        </w:tc>
        <w:tc>
          <w:tcPr>
            <w:tcW w:w="700" w:type="dxa"/>
            <w:tcMar>
              <w:top w:w="0" w:type="dxa"/>
              <w:bottom w:w="0" w:type="dxa"/>
            </w:tcMar>
            <w:vAlign w:val="center"/>
          </w:tcPr>
          <w:p w14:paraId="2F6E2AA0" w14:textId="77777777" w:rsidR="006A125D" w:rsidRDefault="00000000">
            <w:pPr>
              <w:keepNext/>
              <w:keepLines/>
              <w:spacing w:after="0" w:line="240" w:lineRule="auto"/>
              <w:jc w:val="right"/>
            </w:pPr>
            <w:r>
              <w:rPr>
                <w:sz w:val="18"/>
              </w:rPr>
              <w:t>104,9</w:t>
            </w:r>
          </w:p>
        </w:tc>
      </w:tr>
    </w:tbl>
    <w:p w14:paraId="53D91F45" w14:textId="77777777" w:rsidR="006A125D" w:rsidRDefault="006A125D">
      <w:pPr>
        <w:spacing w:after="0"/>
      </w:pPr>
    </w:p>
    <w:p w14:paraId="4B91715C" w14:textId="77777777" w:rsidR="006A125D" w:rsidRDefault="00000000">
      <w:pPr>
        <w:spacing w:line="240" w:lineRule="auto"/>
        <w:jc w:val="both"/>
      </w:pPr>
      <w:r>
        <w:t>U ovom izvještajnom razdoblju pomoći se odnose na projekt Zaželi 2 a prema zahtjevima za isplatu sredstava isplaćeno je 183.044,22 eura; te na kapitalne pomoći za biciklističko-pješačku stazu prema Ugovoru s MRRFEU IP.2.1.03.0007 u iznosu 95.093,52 eura i za Program potpore Hrvatima u BiH 14.224,00. Iznos koji je ostvaren u izvještajnom razdoblju prethodne godine odnosi se na projekte koji su završeni.</w:t>
      </w:r>
    </w:p>
    <w:p w14:paraId="25B6A15A" w14:textId="77777777" w:rsidR="006A125D" w:rsidRDefault="006A125D"/>
    <w:p w14:paraId="6A58C5BF" w14:textId="77777777" w:rsidR="006A125D" w:rsidRDefault="0000000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3EC2448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AA7183C"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759AC8F"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63DBFF8"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9FA54A6"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38E500E"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55A1E45A" w14:textId="77777777" w:rsidR="006A125D" w:rsidRDefault="00000000">
            <w:pPr>
              <w:keepNext/>
              <w:keepLines/>
              <w:spacing w:after="0" w:line="240" w:lineRule="auto"/>
              <w:jc w:val="center"/>
            </w:pPr>
            <w:r>
              <w:rPr>
                <w:b/>
                <w:sz w:val="18"/>
              </w:rPr>
              <w:t>Indeks (%)</w:t>
            </w:r>
          </w:p>
        </w:tc>
      </w:tr>
      <w:tr w:rsidR="006A125D" w14:paraId="5EBD55F6" w14:textId="77777777">
        <w:tblPrEx>
          <w:tblCellMar>
            <w:top w:w="0" w:type="dxa"/>
            <w:bottom w:w="0" w:type="dxa"/>
          </w:tblCellMar>
        </w:tblPrEx>
        <w:trPr>
          <w:cantSplit/>
          <w:trHeight w:val="560"/>
        </w:trPr>
        <w:tc>
          <w:tcPr>
            <w:tcW w:w="700" w:type="dxa"/>
            <w:tcMar>
              <w:top w:w="0" w:type="dxa"/>
              <w:bottom w:w="0" w:type="dxa"/>
            </w:tcMar>
            <w:vAlign w:val="center"/>
          </w:tcPr>
          <w:p w14:paraId="3DCC0E91" w14:textId="77777777" w:rsidR="006A125D" w:rsidRDefault="00000000">
            <w:pPr>
              <w:keepNext/>
              <w:keepLines/>
              <w:spacing w:after="0" w:line="240" w:lineRule="auto"/>
            </w:pPr>
            <w:r>
              <w:rPr>
                <w:sz w:val="18"/>
              </w:rPr>
              <w:t>6422</w:t>
            </w:r>
          </w:p>
        </w:tc>
        <w:tc>
          <w:tcPr>
            <w:tcW w:w="3180" w:type="dxa"/>
            <w:tcMar>
              <w:top w:w="0" w:type="dxa"/>
              <w:bottom w:w="0" w:type="dxa"/>
            </w:tcMar>
            <w:vAlign w:val="center"/>
          </w:tcPr>
          <w:p w14:paraId="58579F80" w14:textId="77777777" w:rsidR="006A125D" w:rsidRDefault="00000000">
            <w:pPr>
              <w:keepNext/>
              <w:keepLines/>
              <w:spacing w:after="0" w:line="240" w:lineRule="auto"/>
            </w:pPr>
            <w:r>
              <w:rPr>
                <w:sz w:val="18"/>
              </w:rPr>
              <w:t>Prihodi od zakupa i iznajmljivanja imovine</w:t>
            </w:r>
          </w:p>
        </w:tc>
        <w:tc>
          <w:tcPr>
            <w:tcW w:w="700" w:type="dxa"/>
            <w:tcMar>
              <w:top w:w="0" w:type="dxa"/>
              <w:bottom w:w="0" w:type="dxa"/>
            </w:tcMar>
            <w:vAlign w:val="center"/>
          </w:tcPr>
          <w:p w14:paraId="348ECEA3" w14:textId="77777777" w:rsidR="006A125D" w:rsidRDefault="00000000">
            <w:pPr>
              <w:keepNext/>
              <w:keepLines/>
              <w:spacing w:after="0" w:line="240" w:lineRule="auto"/>
            </w:pPr>
            <w:r>
              <w:rPr>
                <w:sz w:val="18"/>
              </w:rPr>
              <w:t>6422</w:t>
            </w:r>
          </w:p>
        </w:tc>
        <w:tc>
          <w:tcPr>
            <w:tcW w:w="1860" w:type="dxa"/>
            <w:tcMar>
              <w:top w:w="0" w:type="dxa"/>
              <w:bottom w:w="0" w:type="dxa"/>
            </w:tcMar>
            <w:vAlign w:val="center"/>
          </w:tcPr>
          <w:p w14:paraId="659A1496" w14:textId="77777777" w:rsidR="006A125D" w:rsidRDefault="00000000">
            <w:pPr>
              <w:keepNext/>
              <w:keepLines/>
              <w:spacing w:after="0" w:line="240" w:lineRule="auto"/>
              <w:jc w:val="right"/>
            </w:pPr>
            <w:r>
              <w:rPr>
                <w:sz w:val="18"/>
              </w:rPr>
              <w:t>113.352,78</w:t>
            </w:r>
          </w:p>
        </w:tc>
        <w:tc>
          <w:tcPr>
            <w:tcW w:w="1860" w:type="dxa"/>
            <w:tcMar>
              <w:top w:w="0" w:type="dxa"/>
              <w:bottom w:w="0" w:type="dxa"/>
            </w:tcMar>
            <w:vAlign w:val="center"/>
          </w:tcPr>
          <w:p w14:paraId="6314A25F" w14:textId="77777777" w:rsidR="006A125D" w:rsidRDefault="00000000">
            <w:pPr>
              <w:keepNext/>
              <w:keepLines/>
              <w:spacing w:after="0" w:line="240" w:lineRule="auto"/>
              <w:jc w:val="right"/>
            </w:pPr>
            <w:r>
              <w:rPr>
                <w:sz w:val="18"/>
              </w:rPr>
              <w:t>40.663,58</w:t>
            </w:r>
          </w:p>
        </w:tc>
        <w:tc>
          <w:tcPr>
            <w:tcW w:w="700" w:type="dxa"/>
            <w:tcMar>
              <w:top w:w="0" w:type="dxa"/>
              <w:bottom w:w="0" w:type="dxa"/>
            </w:tcMar>
            <w:vAlign w:val="center"/>
          </w:tcPr>
          <w:p w14:paraId="29A5F539" w14:textId="77777777" w:rsidR="006A125D" w:rsidRDefault="00000000">
            <w:pPr>
              <w:keepNext/>
              <w:keepLines/>
              <w:spacing w:after="0" w:line="240" w:lineRule="auto"/>
              <w:jc w:val="right"/>
            </w:pPr>
            <w:r>
              <w:rPr>
                <w:sz w:val="18"/>
              </w:rPr>
              <w:t>35,9</w:t>
            </w:r>
          </w:p>
        </w:tc>
      </w:tr>
    </w:tbl>
    <w:p w14:paraId="2097986F" w14:textId="77777777" w:rsidR="006A125D" w:rsidRDefault="006A125D">
      <w:pPr>
        <w:spacing w:after="0"/>
      </w:pPr>
    </w:p>
    <w:p w14:paraId="72BF9A89" w14:textId="77777777" w:rsidR="006A125D" w:rsidRDefault="00000000">
      <w:pPr>
        <w:spacing w:line="240" w:lineRule="auto"/>
        <w:jc w:val="both"/>
      </w:pPr>
      <w:r>
        <w:t xml:space="preserve">Ostvareni prihodi u ovom izvještajnom razdoblju manji su u odnosu na prethodnu godinu zbog uplata za zakup poljoprivrednog zemljišta koje sada iznose 29.026,16 eura, dok su u izvještajnom razdoblju prethodne godine iznosile 83.878,67 eura. Također, u ovom </w:t>
      </w:r>
      <w:r>
        <w:lastRenderedPageBreak/>
        <w:t>izvještajnom razdoblju uplata za dugogodišnji zakup iznosi 2.040,46 eura, dok je prošle godine uplata bila u iznosu 18.893,10 eura.</w:t>
      </w:r>
    </w:p>
    <w:p w14:paraId="3B986D29" w14:textId="77777777" w:rsidR="006A125D" w:rsidRDefault="006A125D"/>
    <w:p w14:paraId="61A08D3E" w14:textId="77777777" w:rsidR="006A125D" w:rsidRDefault="0000000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585D12A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576B12"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FB392CB"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71335E2"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7070B86"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451E726"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51D83FC" w14:textId="77777777" w:rsidR="006A125D" w:rsidRDefault="00000000">
            <w:pPr>
              <w:keepNext/>
              <w:keepLines/>
              <w:spacing w:after="0" w:line="240" w:lineRule="auto"/>
              <w:jc w:val="center"/>
            </w:pPr>
            <w:r>
              <w:rPr>
                <w:b/>
                <w:sz w:val="18"/>
              </w:rPr>
              <w:t>Indeks (%)</w:t>
            </w:r>
          </w:p>
        </w:tc>
      </w:tr>
      <w:tr w:rsidR="006A125D" w14:paraId="77B20F21" w14:textId="77777777">
        <w:tblPrEx>
          <w:tblCellMar>
            <w:top w:w="0" w:type="dxa"/>
            <w:bottom w:w="0" w:type="dxa"/>
          </w:tblCellMar>
        </w:tblPrEx>
        <w:trPr>
          <w:cantSplit/>
          <w:trHeight w:val="560"/>
        </w:trPr>
        <w:tc>
          <w:tcPr>
            <w:tcW w:w="700" w:type="dxa"/>
            <w:tcMar>
              <w:top w:w="0" w:type="dxa"/>
              <w:bottom w:w="0" w:type="dxa"/>
            </w:tcMar>
            <w:vAlign w:val="center"/>
          </w:tcPr>
          <w:p w14:paraId="05A205D6" w14:textId="77777777" w:rsidR="006A125D" w:rsidRDefault="00000000">
            <w:pPr>
              <w:keepNext/>
              <w:keepLines/>
              <w:spacing w:after="0" w:line="240" w:lineRule="auto"/>
            </w:pPr>
            <w:r>
              <w:rPr>
                <w:sz w:val="18"/>
              </w:rPr>
              <w:t>6526</w:t>
            </w:r>
          </w:p>
        </w:tc>
        <w:tc>
          <w:tcPr>
            <w:tcW w:w="3180" w:type="dxa"/>
            <w:tcMar>
              <w:top w:w="0" w:type="dxa"/>
              <w:bottom w:w="0" w:type="dxa"/>
            </w:tcMar>
            <w:vAlign w:val="center"/>
          </w:tcPr>
          <w:p w14:paraId="33C6A2CF" w14:textId="77777777" w:rsidR="006A125D" w:rsidRDefault="00000000">
            <w:pPr>
              <w:keepNext/>
              <w:keepLines/>
              <w:spacing w:after="0" w:line="240" w:lineRule="auto"/>
            </w:pPr>
            <w:r>
              <w:rPr>
                <w:sz w:val="18"/>
              </w:rPr>
              <w:t>Ostali nespomenuti prihodi</w:t>
            </w:r>
          </w:p>
        </w:tc>
        <w:tc>
          <w:tcPr>
            <w:tcW w:w="700" w:type="dxa"/>
            <w:tcMar>
              <w:top w:w="0" w:type="dxa"/>
              <w:bottom w:w="0" w:type="dxa"/>
            </w:tcMar>
            <w:vAlign w:val="center"/>
          </w:tcPr>
          <w:p w14:paraId="66609E49" w14:textId="77777777" w:rsidR="006A125D" w:rsidRDefault="00000000">
            <w:pPr>
              <w:keepNext/>
              <w:keepLines/>
              <w:spacing w:after="0" w:line="240" w:lineRule="auto"/>
            </w:pPr>
            <w:r>
              <w:rPr>
                <w:sz w:val="18"/>
              </w:rPr>
              <w:t>6526</w:t>
            </w:r>
          </w:p>
        </w:tc>
        <w:tc>
          <w:tcPr>
            <w:tcW w:w="1860" w:type="dxa"/>
            <w:tcMar>
              <w:top w:w="0" w:type="dxa"/>
              <w:bottom w:w="0" w:type="dxa"/>
            </w:tcMar>
            <w:vAlign w:val="center"/>
          </w:tcPr>
          <w:p w14:paraId="23A5547A" w14:textId="77777777" w:rsidR="006A125D" w:rsidRDefault="00000000">
            <w:pPr>
              <w:keepNext/>
              <w:keepLines/>
              <w:spacing w:after="0" w:line="240" w:lineRule="auto"/>
              <w:jc w:val="right"/>
            </w:pPr>
            <w:r>
              <w:rPr>
                <w:sz w:val="18"/>
              </w:rPr>
              <w:t>48.527,37</w:t>
            </w:r>
          </w:p>
        </w:tc>
        <w:tc>
          <w:tcPr>
            <w:tcW w:w="1860" w:type="dxa"/>
            <w:tcMar>
              <w:top w:w="0" w:type="dxa"/>
              <w:bottom w:w="0" w:type="dxa"/>
            </w:tcMar>
            <w:vAlign w:val="center"/>
          </w:tcPr>
          <w:p w14:paraId="18A68CC3" w14:textId="77777777" w:rsidR="006A125D" w:rsidRDefault="00000000">
            <w:pPr>
              <w:keepNext/>
              <w:keepLines/>
              <w:spacing w:after="0" w:line="240" w:lineRule="auto"/>
              <w:jc w:val="right"/>
            </w:pPr>
            <w:r>
              <w:rPr>
                <w:sz w:val="18"/>
              </w:rPr>
              <w:t>7.423,01</w:t>
            </w:r>
          </w:p>
        </w:tc>
        <w:tc>
          <w:tcPr>
            <w:tcW w:w="700" w:type="dxa"/>
            <w:tcMar>
              <w:top w:w="0" w:type="dxa"/>
              <w:bottom w:w="0" w:type="dxa"/>
            </w:tcMar>
            <w:vAlign w:val="center"/>
          </w:tcPr>
          <w:p w14:paraId="4872D068" w14:textId="77777777" w:rsidR="006A125D" w:rsidRDefault="00000000">
            <w:pPr>
              <w:keepNext/>
              <w:keepLines/>
              <w:spacing w:after="0" w:line="240" w:lineRule="auto"/>
              <w:jc w:val="right"/>
            </w:pPr>
            <w:r>
              <w:rPr>
                <w:sz w:val="18"/>
              </w:rPr>
              <w:t>15,3</w:t>
            </w:r>
          </w:p>
        </w:tc>
      </w:tr>
    </w:tbl>
    <w:p w14:paraId="04FB4DAB" w14:textId="77777777" w:rsidR="006A125D" w:rsidRDefault="006A125D">
      <w:pPr>
        <w:spacing w:after="0"/>
      </w:pPr>
    </w:p>
    <w:p w14:paraId="37DF4328" w14:textId="77777777" w:rsidR="006A125D" w:rsidRDefault="00000000">
      <w:pPr>
        <w:spacing w:line="240" w:lineRule="auto"/>
        <w:jc w:val="both"/>
      </w:pPr>
      <w:r>
        <w:t>Prihodi su veći u izvještajnom razdoblju prethodne godine zbog isplate naknade Hrvatskog telekoma za pravo služnosti u iznosu od 41.531,14 EUR jer u 2023. godini nije bilo uplate.</w:t>
      </w:r>
    </w:p>
    <w:p w14:paraId="0B202B8D" w14:textId="77777777" w:rsidR="006A125D" w:rsidRDefault="006A125D"/>
    <w:p w14:paraId="6C3387C7" w14:textId="77777777" w:rsidR="006A125D" w:rsidRDefault="0000000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4492754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FECC90B"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9E96645"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A050C2D"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EB11383"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46310D"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1D49CDC" w14:textId="77777777" w:rsidR="006A125D" w:rsidRDefault="00000000">
            <w:pPr>
              <w:keepNext/>
              <w:keepLines/>
              <w:spacing w:after="0" w:line="240" w:lineRule="auto"/>
              <w:jc w:val="center"/>
            </w:pPr>
            <w:r>
              <w:rPr>
                <w:b/>
                <w:sz w:val="18"/>
              </w:rPr>
              <w:t>Indeks (%)</w:t>
            </w:r>
          </w:p>
        </w:tc>
      </w:tr>
      <w:tr w:rsidR="006A125D" w14:paraId="05E5366A" w14:textId="77777777">
        <w:tblPrEx>
          <w:tblCellMar>
            <w:top w:w="0" w:type="dxa"/>
            <w:bottom w:w="0" w:type="dxa"/>
          </w:tblCellMar>
        </w:tblPrEx>
        <w:trPr>
          <w:cantSplit/>
          <w:trHeight w:val="560"/>
        </w:trPr>
        <w:tc>
          <w:tcPr>
            <w:tcW w:w="700" w:type="dxa"/>
            <w:tcMar>
              <w:top w:w="0" w:type="dxa"/>
              <w:bottom w:w="0" w:type="dxa"/>
            </w:tcMar>
            <w:vAlign w:val="center"/>
          </w:tcPr>
          <w:p w14:paraId="41AAA220" w14:textId="77777777" w:rsidR="006A125D" w:rsidRDefault="00000000">
            <w:pPr>
              <w:keepNext/>
              <w:keepLines/>
              <w:spacing w:after="0" w:line="240" w:lineRule="auto"/>
            </w:pPr>
            <w:r>
              <w:rPr>
                <w:sz w:val="18"/>
              </w:rPr>
              <w:t>6531</w:t>
            </w:r>
          </w:p>
        </w:tc>
        <w:tc>
          <w:tcPr>
            <w:tcW w:w="3180" w:type="dxa"/>
            <w:tcMar>
              <w:top w:w="0" w:type="dxa"/>
              <w:bottom w:w="0" w:type="dxa"/>
            </w:tcMar>
            <w:vAlign w:val="center"/>
          </w:tcPr>
          <w:p w14:paraId="4A1A8456" w14:textId="77777777" w:rsidR="006A125D" w:rsidRDefault="00000000">
            <w:pPr>
              <w:keepNext/>
              <w:keepLines/>
              <w:spacing w:after="0" w:line="240" w:lineRule="auto"/>
            </w:pPr>
            <w:r>
              <w:rPr>
                <w:sz w:val="18"/>
              </w:rPr>
              <w:t>Komunalni doprinosi</w:t>
            </w:r>
          </w:p>
        </w:tc>
        <w:tc>
          <w:tcPr>
            <w:tcW w:w="700" w:type="dxa"/>
            <w:tcMar>
              <w:top w:w="0" w:type="dxa"/>
              <w:bottom w:w="0" w:type="dxa"/>
            </w:tcMar>
            <w:vAlign w:val="center"/>
          </w:tcPr>
          <w:p w14:paraId="7653A17E" w14:textId="77777777" w:rsidR="006A125D" w:rsidRDefault="00000000">
            <w:pPr>
              <w:keepNext/>
              <w:keepLines/>
              <w:spacing w:after="0" w:line="240" w:lineRule="auto"/>
            </w:pPr>
            <w:r>
              <w:rPr>
                <w:sz w:val="18"/>
              </w:rPr>
              <w:t>6531</w:t>
            </w:r>
          </w:p>
        </w:tc>
        <w:tc>
          <w:tcPr>
            <w:tcW w:w="1860" w:type="dxa"/>
            <w:tcMar>
              <w:top w:w="0" w:type="dxa"/>
              <w:bottom w:w="0" w:type="dxa"/>
            </w:tcMar>
            <w:vAlign w:val="center"/>
          </w:tcPr>
          <w:p w14:paraId="01675F34" w14:textId="77777777" w:rsidR="006A125D" w:rsidRDefault="00000000">
            <w:pPr>
              <w:keepNext/>
              <w:keepLines/>
              <w:spacing w:after="0" w:line="240" w:lineRule="auto"/>
              <w:jc w:val="right"/>
            </w:pPr>
            <w:r>
              <w:rPr>
                <w:sz w:val="18"/>
              </w:rPr>
              <w:t>146.662,09</w:t>
            </w:r>
          </w:p>
        </w:tc>
        <w:tc>
          <w:tcPr>
            <w:tcW w:w="1860" w:type="dxa"/>
            <w:tcMar>
              <w:top w:w="0" w:type="dxa"/>
              <w:bottom w:w="0" w:type="dxa"/>
            </w:tcMar>
            <w:vAlign w:val="center"/>
          </w:tcPr>
          <w:p w14:paraId="75BC0E40" w14:textId="77777777" w:rsidR="006A125D" w:rsidRDefault="00000000">
            <w:pPr>
              <w:keepNext/>
              <w:keepLines/>
              <w:spacing w:after="0" w:line="240" w:lineRule="auto"/>
              <w:jc w:val="right"/>
            </w:pPr>
            <w:r>
              <w:rPr>
                <w:sz w:val="18"/>
              </w:rPr>
              <w:t>34.793,10</w:t>
            </w:r>
          </w:p>
        </w:tc>
        <w:tc>
          <w:tcPr>
            <w:tcW w:w="700" w:type="dxa"/>
            <w:tcMar>
              <w:top w:w="0" w:type="dxa"/>
              <w:bottom w:w="0" w:type="dxa"/>
            </w:tcMar>
            <w:vAlign w:val="center"/>
          </w:tcPr>
          <w:p w14:paraId="4A7BAE94" w14:textId="77777777" w:rsidR="006A125D" w:rsidRDefault="00000000">
            <w:pPr>
              <w:keepNext/>
              <w:keepLines/>
              <w:spacing w:after="0" w:line="240" w:lineRule="auto"/>
              <w:jc w:val="right"/>
            </w:pPr>
            <w:r>
              <w:rPr>
                <w:sz w:val="18"/>
              </w:rPr>
              <w:t>23,7</w:t>
            </w:r>
          </w:p>
        </w:tc>
      </w:tr>
    </w:tbl>
    <w:p w14:paraId="45654165" w14:textId="77777777" w:rsidR="006A125D" w:rsidRDefault="006A125D">
      <w:pPr>
        <w:spacing w:after="0"/>
      </w:pPr>
    </w:p>
    <w:p w14:paraId="588AA511" w14:textId="77777777" w:rsidR="006A125D" w:rsidRDefault="00000000">
      <w:pPr>
        <w:spacing w:line="240" w:lineRule="auto"/>
        <w:jc w:val="both"/>
      </w:pPr>
      <w:r>
        <w:t>Prihodi su manji u odnosu na prošlu godinu jer su u 2024. godini izgrađeni veći građevinski objekti na području općine Čepin (hotel i poliklinika) te u ovom razdoblju takvih građevina nije bilo.</w:t>
      </w:r>
    </w:p>
    <w:p w14:paraId="59EB7429" w14:textId="77777777" w:rsidR="006A125D" w:rsidRDefault="006A125D"/>
    <w:p w14:paraId="38D433D1" w14:textId="77777777" w:rsidR="006A125D" w:rsidRDefault="0000000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4E050D4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FD4BA7C"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5F02ED8E"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E603782"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C3E1E51"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61DC3B9"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EEA4FD3" w14:textId="77777777" w:rsidR="006A125D" w:rsidRDefault="00000000">
            <w:pPr>
              <w:keepNext/>
              <w:keepLines/>
              <w:spacing w:after="0" w:line="240" w:lineRule="auto"/>
              <w:jc w:val="center"/>
            </w:pPr>
            <w:r>
              <w:rPr>
                <w:b/>
                <w:sz w:val="18"/>
              </w:rPr>
              <w:t>Indeks (%)</w:t>
            </w:r>
          </w:p>
        </w:tc>
      </w:tr>
      <w:tr w:rsidR="006A125D" w14:paraId="1C1E48AE" w14:textId="77777777">
        <w:tblPrEx>
          <w:tblCellMar>
            <w:top w:w="0" w:type="dxa"/>
            <w:bottom w:w="0" w:type="dxa"/>
          </w:tblCellMar>
        </w:tblPrEx>
        <w:trPr>
          <w:cantSplit/>
          <w:trHeight w:val="560"/>
        </w:trPr>
        <w:tc>
          <w:tcPr>
            <w:tcW w:w="700" w:type="dxa"/>
            <w:tcMar>
              <w:top w:w="0" w:type="dxa"/>
              <w:bottom w:w="0" w:type="dxa"/>
            </w:tcMar>
            <w:vAlign w:val="center"/>
          </w:tcPr>
          <w:p w14:paraId="32DBE691" w14:textId="77777777" w:rsidR="006A125D" w:rsidRDefault="00000000">
            <w:pPr>
              <w:keepNext/>
              <w:keepLines/>
              <w:spacing w:after="0" w:line="240" w:lineRule="auto"/>
            </w:pPr>
            <w:r>
              <w:rPr>
                <w:sz w:val="18"/>
              </w:rPr>
              <w:t>3111</w:t>
            </w:r>
          </w:p>
        </w:tc>
        <w:tc>
          <w:tcPr>
            <w:tcW w:w="3180" w:type="dxa"/>
            <w:tcMar>
              <w:top w:w="0" w:type="dxa"/>
              <w:bottom w:w="0" w:type="dxa"/>
            </w:tcMar>
            <w:vAlign w:val="center"/>
          </w:tcPr>
          <w:p w14:paraId="392906DE" w14:textId="77777777" w:rsidR="006A125D" w:rsidRDefault="00000000">
            <w:pPr>
              <w:keepNext/>
              <w:keepLines/>
              <w:spacing w:after="0" w:line="240" w:lineRule="auto"/>
            </w:pPr>
            <w:r>
              <w:rPr>
                <w:sz w:val="18"/>
              </w:rPr>
              <w:t>Plaće za redovan rad</w:t>
            </w:r>
          </w:p>
        </w:tc>
        <w:tc>
          <w:tcPr>
            <w:tcW w:w="700" w:type="dxa"/>
            <w:tcMar>
              <w:top w:w="0" w:type="dxa"/>
              <w:bottom w:w="0" w:type="dxa"/>
            </w:tcMar>
            <w:vAlign w:val="center"/>
          </w:tcPr>
          <w:p w14:paraId="75F94358" w14:textId="77777777" w:rsidR="006A125D" w:rsidRDefault="00000000">
            <w:pPr>
              <w:keepNext/>
              <w:keepLines/>
              <w:spacing w:after="0" w:line="240" w:lineRule="auto"/>
            </w:pPr>
            <w:r>
              <w:rPr>
                <w:sz w:val="18"/>
              </w:rPr>
              <w:t>3111</w:t>
            </w:r>
          </w:p>
        </w:tc>
        <w:tc>
          <w:tcPr>
            <w:tcW w:w="1860" w:type="dxa"/>
            <w:tcMar>
              <w:top w:w="0" w:type="dxa"/>
              <w:bottom w:w="0" w:type="dxa"/>
            </w:tcMar>
            <w:vAlign w:val="center"/>
          </w:tcPr>
          <w:p w14:paraId="769978DB" w14:textId="77777777" w:rsidR="006A125D" w:rsidRDefault="00000000">
            <w:pPr>
              <w:keepNext/>
              <w:keepLines/>
              <w:spacing w:after="0" w:line="240" w:lineRule="auto"/>
              <w:jc w:val="right"/>
            </w:pPr>
            <w:r>
              <w:rPr>
                <w:sz w:val="18"/>
              </w:rPr>
              <w:t>193.762,05</w:t>
            </w:r>
          </w:p>
        </w:tc>
        <w:tc>
          <w:tcPr>
            <w:tcW w:w="1860" w:type="dxa"/>
            <w:tcMar>
              <w:top w:w="0" w:type="dxa"/>
              <w:bottom w:w="0" w:type="dxa"/>
            </w:tcMar>
            <w:vAlign w:val="center"/>
          </w:tcPr>
          <w:p w14:paraId="78BE6D5B" w14:textId="77777777" w:rsidR="006A125D" w:rsidRDefault="00000000">
            <w:pPr>
              <w:keepNext/>
              <w:keepLines/>
              <w:spacing w:after="0" w:line="240" w:lineRule="auto"/>
              <w:jc w:val="right"/>
            </w:pPr>
            <w:r>
              <w:rPr>
                <w:sz w:val="18"/>
              </w:rPr>
              <w:t>440.857,10</w:t>
            </w:r>
          </w:p>
        </w:tc>
        <w:tc>
          <w:tcPr>
            <w:tcW w:w="700" w:type="dxa"/>
            <w:tcMar>
              <w:top w:w="0" w:type="dxa"/>
              <w:bottom w:w="0" w:type="dxa"/>
            </w:tcMar>
            <w:vAlign w:val="center"/>
          </w:tcPr>
          <w:p w14:paraId="3C762961" w14:textId="77777777" w:rsidR="006A125D" w:rsidRDefault="00000000">
            <w:pPr>
              <w:keepNext/>
              <w:keepLines/>
              <w:spacing w:after="0" w:line="240" w:lineRule="auto"/>
              <w:jc w:val="right"/>
            </w:pPr>
            <w:r>
              <w:rPr>
                <w:sz w:val="18"/>
              </w:rPr>
              <w:t>227,5</w:t>
            </w:r>
          </w:p>
        </w:tc>
      </w:tr>
    </w:tbl>
    <w:p w14:paraId="50D6F7E7" w14:textId="77777777" w:rsidR="006A125D" w:rsidRDefault="006A125D">
      <w:pPr>
        <w:spacing w:after="0"/>
      </w:pPr>
    </w:p>
    <w:p w14:paraId="61F137B3" w14:textId="77777777" w:rsidR="006A125D" w:rsidRDefault="00000000">
      <w:pPr>
        <w:spacing w:line="240" w:lineRule="auto"/>
        <w:jc w:val="both"/>
      </w:pPr>
      <w:r>
        <w:t>Rashodi su veći u izvještajnom razdoblju tekuće godine zbog provođenja programa Zaželi 2 u kojem je zaposleno 27 žena, te rasta minimalne plaće koja je osnovica za obračun plaća zaposlenih.</w:t>
      </w:r>
    </w:p>
    <w:p w14:paraId="7DF2C59C" w14:textId="77777777" w:rsidR="006A125D" w:rsidRDefault="006A125D"/>
    <w:p w14:paraId="6593EDFA" w14:textId="77777777" w:rsidR="006A125D" w:rsidRDefault="0000000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FE1538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771D76D8"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065334E"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56E147A"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B143754"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19B7566"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3F3827A" w14:textId="77777777" w:rsidR="006A125D" w:rsidRDefault="00000000">
            <w:pPr>
              <w:keepNext/>
              <w:keepLines/>
              <w:spacing w:after="0" w:line="240" w:lineRule="auto"/>
              <w:jc w:val="center"/>
            </w:pPr>
            <w:r>
              <w:rPr>
                <w:b/>
                <w:sz w:val="18"/>
              </w:rPr>
              <w:t>Indeks (%)</w:t>
            </w:r>
          </w:p>
        </w:tc>
      </w:tr>
      <w:tr w:rsidR="006A125D" w14:paraId="0FB98D53" w14:textId="77777777">
        <w:tblPrEx>
          <w:tblCellMar>
            <w:top w:w="0" w:type="dxa"/>
            <w:bottom w:w="0" w:type="dxa"/>
          </w:tblCellMar>
        </w:tblPrEx>
        <w:trPr>
          <w:cantSplit/>
          <w:trHeight w:val="560"/>
        </w:trPr>
        <w:tc>
          <w:tcPr>
            <w:tcW w:w="700" w:type="dxa"/>
            <w:tcMar>
              <w:top w:w="0" w:type="dxa"/>
              <w:bottom w:w="0" w:type="dxa"/>
            </w:tcMar>
            <w:vAlign w:val="center"/>
          </w:tcPr>
          <w:p w14:paraId="324EDCE7" w14:textId="77777777" w:rsidR="006A125D" w:rsidRDefault="00000000">
            <w:pPr>
              <w:keepNext/>
              <w:keepLines/>
              <w:spacing w:after="0" w:line="240" w:lineRule="auto"/>
            </w:pPr>
            <w:r>
              <w:rPr>
                <w:sz w:val="18"/>
              </w:rPr>
              <w:t>322</w:t>
            </w:r>
          </w:p>
        </w:tc>
        <w:tc>
          <w:tcPr>
            <w:tcW w:w="3180" w:type="dxa"/>
            <w:tcMar>
              <w:top w:w="0" w:type="dxa"/>
              <w:bottom w:w="0" w:type="dxa"/>
            </w:tcMar>
            <w:vAlign w:val="center"/>
          </w:tcPr>
          <w:p w14:paraId="167D68DB" w14:textId="77777777" w:rsidR="006A125D" w:rsidRDefault="00000000">
            <w:pPr>
              <w:keepNext/>
              <w:keepLines/>
              <w:spacing w:after="0" w:line="240" w:lineRule="auto"/>
            </w:pPr>
            <w:r>
              <w:rPr>
                <w:sz w:val="18"/>
              </w:rPr>
              <w:t>Rashodi za materijal i energiju (šifre 3221 do 3227)</w:t>
            </w:r>
          </w:p>
        </w:tc>
        <w:tc>
          <w:tcPr>
            <w:tcW w:w="700" w:type="dxa"/>
            <w:tcMar>
              <w:top w:w="0" w:type="dxa"/>
              <w:bottom w:w="0" w:type="dxa"/>
            </w:tcMar>
            <w:vAlign w:val="center"/>
          </w:tcPr>
          <w:p w14:paraId="642C525A" w14:textId="77777777" w:rsidR="006A125D" w:rsidRDefault="00000000">
            <w:pPr>
              <w:keepNext/>
              <w:keepLines/>
              <w:spacing w:after="0" w:line="240" w:lineRule="auto"/>
            </w:pPr>
            <w:r>
              <w:rPr>
                <w:sz w:val="18"/>
              </w:rPr>
              <w:t>322</w:t>
            </w:r>
          </w:p>
        </w:tc>
        <w:tc>
          <w:tcPr>
            <w:tcW w:w="1860" w:type="dxa"/>
            <w:tcMar>
              <w:top w:w="0" w:type="dxa"/>
              <w:bottom w:w="0" w:type="dxa"/>
            </w:tcMar>
            <w:vAlign w:val="center"/>
          </w:tcPr>
          <w:p w14:paraId="13603AC3" w14:textId="77777777" w:rsidR="006A125D" w:rsidRDefault="00000000">
            <w:pPr>
              <w:keepNext/>
              <w:keepLines/>
              <w:spacing w:after="0" w:line="240" w:lineRule="auto"/>
              <w:jc w:val="right"/>
            </w:pPr>
            <w:r>
              <w:rPr>
                <w:sz w:val="18"/>
              </w:rPr>
              <w:t>68.206,22</w:t>
            </w:r>
          </w:p>
        </w:tc>
        <w:tc>
          <w:tcPr>
            <w:tcW w:w="1860" w:type="dxa"/>
            <w:tcMar>
              <w:top w:w="0" w:type="dxa"/>
              <w:bottom w:w="0" w:type="dxa"/>
            </w:tcMar>
            <w:vAlign w:val="center"/>
          </w:tcPr>
          <w:p w14:paraId="6DBB0C2D" w14:textId="77777777" w:rsidR="006A125D" w:rsidRDefault="00000000">
            <w:pPr>
              <w:keepNext/>
              <w:keepLines/>
              <w:spacing w:after="0" w:line="240" w:lineRule="auto"/>
              <w:jc w:val="right"/>
            </w:pPr>
            <w:r>
              <w:rPr>
                <w:sz w:val="18"/>
              </w:rPr>
              <w:t>108.155,32</w:t>
            </w:r>
          </w:p>
        </w:tc>
        <w:tc>
          <w:tcPr>
            <w:tcW w:w="700" w:type="dxa"/>
            <w:tcMar>
              <w:top w:w="0" w:type="dxa"/>
              <w:bottom w:w="0" w:type="dxa"/>
            </w:tcMar>
            <w:vAlign w:val="center"/>
          </w:tcPr>
          <w:p w14:paraId="3BCF032C" w14:textId="77777777" w:rsidR="006A125D" w:rsidRDefault="00000000">
            <w:pPr>
              <w:keepNext/>
              <w:keepLines/>
              <w:spacing w:after="0" w:line="240" w:lineRule="auto"/>
              <w:jc w:val="right"/>
            </w:pPr>
            <w:r>
              <w:rPr>
                <w:sz w:val="18"/>
              </w:rPr>
              <w:t>158,6</w:t>
            </w:r>
          </w:p>
        </w:tc>
      </w:tr>
    </w:tbl>
    <w:p w14:paraId="5C6F5090" w14:textId="77777777" w:rsidR="006A125D" w:rsidRDefault="006A125D">
      <w:pPr>
        <w:spacing w:after="0"/>
      </w:pPr>
    </w:p>
    <w:p w14:paraId="357292FC" w14:textId="77777777" w:rsidR="006A125D" w:rsidRDefault="00000000">
      <w:pPr>
        <w:spacing w:line="240" w:lineRule="auto"/>
        <w:jc w:val="both"/>
      </w:pPr>
      <w:r>
        <w:t>.</w:t>
      </w:r>
    </w:p>
    <w:p w14:paraId="077D8BE4" w14:textId="77777777" w:rsidR="006A125D" w:rsidRDefault="006A125D"/>
    <w:p w14:paraId="766C6219" w14:textId="77777777" w:rsidR="006A125D" w:rsidRDefault="0000000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7B56A7C4"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6FC42BB"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698DE46"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193CAD8"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DD988C7"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D60F8A2"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C2F3D7D" w14:textId="77777777" w:rsidR="006A125D" w:rsidRDefault="00000000">
            <w:pPr>
              <w:keepNext/>
              <w:keepLines/>
              <w:spacing w:after="0" w:line="240" w:lineRule="auto"/>
              <w:jc w:val="center"/>
            </w:pPr>
            <w:r>
              <w:rPr>
                <w:b/>
                <w:sz w:val="18"/>
              </w:rPr>
              <w:t>Indeks (%)</w:t>
            </w:r>
          </w:p>
        </w:tc>
      </w:tr>
      <w:tr w:rsidR="006A125D" w14:paraId="2577D36E" w14:textId="77777777">
        <w:tblPrEx>
          <w:tblCellMar>
            <w:top w:w="0" w:type="dxa"/>
            <w:bottom w:w="0" w:type="dxa"/>
          </w:tblCellMar>
        </w:tblPrEx>
        <w:trPr>
          <w:cantSplit/>
          <w:trHeight w:val="560"/>
        </w:trPr>
        <w:tc>
          <w:tcPr>
            <w:tcW w:w="700" w:type="dxa"/>
            <w:tcMar>
              <w:top w:w="0" w:type="dxa"/>
              <w:bottom w:w="0" w:type="dxa"/>
            </w:tcMar>
            <w:vAlign w:val="center"/>
          </w:tcPr>
          <w:p w14:paraId="466F15B8" w14:textId="77777777" w:rsidR="006A125D" w:rsidRDefault="00000000">
            <w:pPr>
              <w:keepNext/>
              <w:keepLines/>
              <w:spacing w:after="0" w:line="240" w:lineRule="auto"/>
            </w:pPr>
            <w:r>
              <w:rPr>
                <w:sz w:val="18"/>
              </w:rPr>
              <w:t>3222</w:t>
            </w:r>
          </w:p>
        </w:tc>
        <w:tc>
          <w:tcPr>
            <w:tcW w:w="3180" w:type="dxa"/>
            <w:tcMar>
              <w:top w:w="0" w:type="dxa"/>
              <w:bottom w:w="0" w:type="dxa"/>
            </w:tcMar>
            <w:vAlign w:val="center"/>
          </w:tcPr>
          <w:p w14:paraId="2EA11613" w14:textId="77777777" w:rsidR="006A125D" w:rsidRDefault="00000000">
            <w:pPr>
              <w:keepNext/>
              <w:keepLines/>
              <w:spacing w:after="0" w:line="240" w:lineRule="auto"/>
            </w:pPr>
            <w:r>
              <w:rPr>
                <w:sz w:val="18"/>
              </w:rPr>
              <w:t>Materijal i sirovine</w:t>
            </w:r>
          </w:p>
        </w:tc>
        <w:tc>
          <w:tcPr>
            <w:tcW w:w="700" w:type="dxa"/>
            <w:tcMar>
              <w:top w:w="0" w:type="dxa"/>
              <w:bottom w:w="0" w:type="dxa"/>
            </w:tcMar>
            <w:vAlign w:val="center"/>
          </w:tcPr>
          <w:p w14:paraId="74D8B5C2" w14:textId="77777777" w:rsidR="006A125D" w:rsidRDefault="00000000">
            <w:pPr>
              <w:keepNext/>
              <w:keepLines/>
              <w:spacing w:after="0" w:line="240" w:lineRule="auto"/>
            </w:pPr>
            <w:r>
              <w:rPr>
                <w:sz w:val="18"/>
              </w:rPr>
              <w:t>3222</w:t>
            </w:r>
          </w:p>
        </w:tc>
        <w:tc>
          <w:tcPr>
            <w:tcW w:w="1860" w:type="dxa"/>
            <w:tcMar>
              <w:top w:w="0" w:type="dxa"/>
              <w:bottom w:w="0" w:type="dxa"/>
            </w:tcMar>
            <w:vAlign w:val="center"/>
          </w:tcPr>
          <w:p w14:paraId="38C1D208" w14:textId="77777777" w:rsidR="006A125D" w:rsidRDefault="00000000">
            <w:pPr>
              <w:keepNext/>
              <w:keepLines/>
              <w:spacing w:after="0" w:line="240" w:lineRule="auto"/>
              <w:jc w:val="right"/>
            </w:pPr>
            <w:r>
              <w:rPr>
                <w:sz w:val="18"/>
              </w:rPr>
              <w:t>1.409,92</w:t>
            </w:r>
          </w:p>
        </w:tc>
        <w:tc>
          <w:tcPr>
            <w:tcW w:w="1860" w:type="dxa"/>
            <w:tcMar>
              <w:top w:w="0" w:type="dxa"/>
              <w:bottom w:w="0" w:type="dxa"/>
            </w:tcMar>
            <w:vAlign w:val="center"/>
          </w:tcPr>
          <w:p w14:paraId="7EA34ECD" w14:textId="77777777" w:rsidR="006A125D" w:rsidRDefault="00000000">
            <w:pPr>
              <w:keepNext/>
              <w:keepLines/>
              <w:spacing w:after="0" w:line="240" w:lineRule="auto"/>
              <w:jc w:val="right"/>
            </w:pPr>
            <w:r>
              <w:rPr>
                <w:sz w:val="18"/>
              </w:rPr>
              <w:t>12.675,09</w:t>
            </w:r>
          </w:p>
        </w:tc>
        <w:tc>
          <w:tcPr>
            <w:tcW w:w="700" w:type="dxa"/>
            <w:tcMar>
              <w:top w:w="0" w:type="dxa"/>
              <w:bottom w:w="0" w:type="dxa"/>
            </w:tcMar>
            <w:vAlign w:val="center"/>
          </w:tcPr>
          <w:p w14:paraId="5A12FCC4" w14:textId="77777777" w:rsidR="006A125D" w:rsidRDefault="00000000">
            <w:pPr>
              <w:keepNext/>
              <w:keepLines/>
              <w:spacing w:after="0" w:line="240" w:lineRule="auto"/>
              <w:jc w:val="right"/>
            </w:pPr>
            <w:r>
              <w:rPr>
                <w:sz w:val="18"/>
              </w:rPr>
              <w:t>899,0</w:t>
            </w:r>
          </w:p>
        </w:tc>
      </w:tr>
    </w:tbl>
    <w:p w14:paraId="00F6EFD7" w14:textId="77777777" w:rsidR="006A125D" w:rsidRDefault="006A125D">
      <w:pPr>
        <w:spacing w:after="0"/>
      </w:pPr>
    </w:p>
    <w:p w14:paraId="1C5BCC85" w14:textId="77777777" w:rsidR="006A125D" w:rsidRDefault="00000000">
      <w:pPr>
        <w:spacing w:line="240" w:lineRule="auto"/>
        <w:jc w:val="both"/>
      </w:pPr>
      <w:r>
        <w:t xml:space="preserve">Rashodi su veći u izvještajnom razdoblju tekuće godine zbog </w:t>
      </w:r>
      <w:proofErr w:type="spellStart"/>
      <w:r>
        <w:t>zbog</w:t>
      </w:r>
      <w:proofErr w:type="spellEnd"/>
      <w:r>
        <w:t xml:space="preserve"> potrošnog materijala za projekt Zaželi 2 (Saponia).</w:t>
      </w:r>
    </w:p>
    <w:p w14:paraId="08C1D3C0" w14:textId="77777777" w:rsidR="006A125D" w:rsidRDefault="006A125D"/>
    <w:p w14:paraId="0EE52C08" w14:textId="77777777" w:rsidR="006A125D" w:rsidRDefault="0000000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5B2C737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8D6DE61"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61DD231"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311584AB"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18F74A2"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77A1C88"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42A5514B" w14:textId="77777777" w:rsidR="006A125D" w:rsidRDefault="00000000">
            <w:pPr>
              <w:keepNext/>
              <w:keepLines/>
              <w:spacing w:after="0" w:line="240" w:lineRule="auto"/>
              <w:jc w:val="center"/>
            </w:pPr>
            <w:r>
              <w:rPr>
                <w:b/>
                <w:sz w:val="18"/>
              </w:rPr>
              <w:t>Indeks (%)</w:t>
            </w:r>
          </w:p>
        </w:tc>
      </w:tr>
      <w:tr w:rsidR="006A125D" w14:paraId="7908422B" w14:textId="77777777">
        <w:tblPrEx>
          <w:tblCellMar>
            <w:top w:w="0" w:type="dxa"/>
            <w:bottom w:w="0" w:type="dxa"/>
          </w:tblCellMar>
        </w:tblPrEx>
        <w:trPr>
          <w:cantSplit/>
          <w:trHeight w:val="560"/>
        </w:trPr>
        <w:tc>
          <w:tcPr>
            <w:tcW w:w="700" w:type="dxa"/>
            <w:tcMar>
              <w:top w:w="0" w:type="dxa"/>
              <w:bottom w:w="0" w:type="dxa"/>
            </w:tcMar>
            <w:vAlign w:val="center"/>
          </w:tcPr>
          <w:p w14:paraId="5355EE60" w14:textId="77777777" w:rsidR="006A125D" w:rsidRDefault="00000000">
            <w:pPr>
              <w:keepNext/>
              <w:keepLines/>
              <w:spacing w:after="0" w:line="240" w:lineRule="auto"/>
            </w:pPr>
            <w:r>
              <w:rPr>
                <w:sz w:val="18"/>
              </w:rPr>
              <w:t>3223</w:t>
            </w:r>
          </w:p>
        </w:tc>
        <w:tc>
          <w:tcPr>
            <w:tcW w:w="3180" w:type="dxa"/>
            <w:tcMar>
              <w:top w:w="0" w:type="dxa"/>
              <w:bottom w:w="0" w:type="dxa"/>
            </w:tcMar>
            <w:vAlign w:val="center"/>
          </w:tcPr>
          <w:p w14:paraId="22A6AC6C" w14:textId="77777777" w:rsidR="006A125D" w:rsidRDefault="00000000">
            <w:pPr>
              <w:keepNext/>
              <w:keepLines/>
              <w:spacing w:after="0" w:line="240" w:lineRule="auto"/>
            </w:pPr>
            <w:r>
              <w:rPr>
                <w:sz w:val="18"/>
              </w:rPr>
              <w:t>Energija</w:t>
            </w:r>
          </w:p>
        </w:tc>
        <w:tc>
          <w:tcPr>
            <w:tcW w:w="700" w:type="dxa"/>
            <w:tcMar>
              <w:top w:w="0" w:type="dxa"/>
              <w:bottom w:w="0" w:type="dxa"/>
            </w:tcMar>
            <w:vAlign w:val="center"/>
          </w:tcPr>
          <w:p w14:paraId="6F317303" w14:textId="77777777" w:rsidR="006A125D" w:rsidRDefault="00000000">
            <w:pPr>
              <w:keepNext/>
              <w:keepLines/>
              <w:spacing w:after="0" w:line="240" w:lineRule="auto"/>
            </w:pPr>
            <w:r>
              <w:rPr>
                <w:sz w:val="18"/>
              </w:rPr>
              <w:t>3223</w:t>
            </w:r>
          </w:p>
        </w:tc>
        <w:tc>
          <w:tcPr>
            <w:tcW w:w="1860" w:type="dxa"/>
            <w:tcMar>
              <w:top w:w="0" w:type="dxa"/>
              <w:bottom w:w="0" w:type="dxa"/>
            </w:tcMar>
            <w:vAlign w:val="center"/>
          </w:tcPr>
          <w:p w14:paraId="57163ABE" w14:textId="77777777" w:rsidR="006A125D" w:rsidRDefault="00000000">
            <w:pPr>
              <w:keepNext/>
              <w:keepLines/>
              <w:spacing w:after="0" w:line="240" w:lineRule="auto"/>
              <w:jc w:val="right"/>
            </w:pPr>
            <w:r>
              <w:rPr>
                <w:sz w:val="18"/>
              </w:rPr>
              <w:t>55.132,61</w:t>
            </w:r>
          </w:p>
        </w:tc>
        <w:tc>
          <w:tcPr>
            <w:tcW w:w="1860" w:type="dxa"/>
            <w:tcMar>
              <w:top w:w="0" w:type="dxa"/>
              <w:bottom w:w="0" w:type="dxa"/>
            </w:tcMar>
            <w:vAlign w:val="center"/>
          </w:tcPr>
          <w:p w14:paraId="0AD86038" w14:textId="77777777" w:rsidR="006A125D" w:rsidRDefault="00000000">
            <w:pPr>
              <w:keepNext/>
              <w:keepLines/>
              <w:spacing w:after="0" w:line="240" w:lineRule="auto"/>
              <w:jc w:val="right"/>
            </w:pPr>
            <w:r>
              <w:rPr>
                <w:sz w:val="18"/>
              </w:rPr>
              <w:t>88.250,85</w:t>
            </w:r>
          </w:p>
        </w:tc>
        <w:tc>
          <w:tcPr>
            <w:tcW w:w="700" w:type="dxa"/>
            <w:tcMar>
              <w:top w:w="0" w:type="dxa"/>
              <w:bottom w:w="0" w:type="dxa"/>
            </w:tcMar>
            <w:vAlign w:val="center"/>
          </w:tcPr>
          <w:p w14:paraId="29F00BFA" w14:textId="77777777" w:rsidR="006A125D" w:rsidRDefault="00000000">
            <w:pPr>
              <w:keepNext/>
              <w:keepLines/>
              <w:spacing w:after="0" w:line="240" w:lineRule="auto"/>
              <w:jc w:val="right"/>
            </w:pPr>
            <w:r>
              <w:rPr>
                <w:sz w:val="18"/>
              </w:rPr>
              <w:t>160,1</w:t>
            </w:r>
          </w:p>
        </w:tc>
      </w:tr>
    </w:tbl>
    <w:p w14:paraId="4CDF6F58" w14:textId="77777777" w:rsidR="006A125D" w:rsidRDefault="006A125D">
      <w:pPr>
        <w:spacing w:after="0"/>
      </w:pPr>
    </w:p>
    <w:p w14:paraId="32BF6966" w14:textId="77777777" w:rsidR="006A125D" w:rsidRDefault="00000000">
      <w:pPr>
        <w:spacing w:line="240" w:lineRule="auto"/>
        <w:jc w:val="both"/>
      </w:pPr>
      <w:r>
        <w:t>Rashodi su veći za 33.118,24 eura zbog većih računa za struju i plin općinskih objekata (u Sali Hrvatski dom su smješteni polaznici Dječjeg vrtića Zvončić zbog radova na zgradi vrtića)</w:t>
      </w:r>
    </w:p>
    <w:p w14:paraId="743B2D24" w14:textId="77777777" w:rsidR="006A125D" w:rsidRDefault="006A125D"/>
    <w:p w14:paraId="1D3FBC09" w14:textId="77777777" w:rsidR="006A125D" w:rsidRDefault="0000000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23AE518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11D65C9"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FD6928E"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5C136D0"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060B29D"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8B0FDFC"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90C9B4A" w14:textId="77777777" w:rsidR="006A125D" w:rsidRDefault="00000000">
            <w:pPr>
              <w:keepNext/>
              <w:keepLines/>
              <w:spacing w:after="0" w:line="240" w:lineRule="auto"/>
              <w:jc w:val="center"/>
            </w:pPr>
            <w:r>
              <w:rPr>
                <w:b/>
                <w:sz w:val="18"/>
              </w:rPr>
              <w:t>Indeks (%)</w:t>
            </w:r>
          </w:p>
        </w:tc>
      </w:tr>
      <w:tr w:rsidR="006A125D" w14:paraId="3625ED6E" w14:textId="77777777">
        <w:tblPrEx>
          <w:tblCellMar>
            <w:top w:w="0" w:type="dxa"/>
            <w:bottom w:w="0" w:type="dxa"/>
          </w:tblCellMar>
        </w:tblPrEx>
        <w:trPr>
          <w:cantSplit/>
          <w:trHeight w:val="560"/>
        </w:trPr>
        <w:tc>
          <w:tcPr>
            <w:tcW w:w="700" w:type="dxa"/>
            <w:tcMar>
              <w:top w:w="0" w:type="dxa"/>
              <w:bottom w:w="0" w:type="dxa"/>
            </w:tcMar>
            <w:vAlign w:val="center"/>
          </w:tcPr>
          <w:p w14:paraId="717B8F19" w14:textId="77777777" w:rsidR="006A125D" w:rsidRDefault="00000000">
            <w:pPr>
              <w:keepNext/>
              <w:keepLines/>
              <w:spacing w:after="0" w:line="240" w:lineRule="auto"/>
            </w:pPr>
            <w:r>
              <w:rPr>
                <w:sz w:val="18"/>
              </w:rPr>
              <w:t>3231</w:t>
            </w:r>
          </w:p>
        </w:tc>
        <w:tc>
          <w:tcPr>
            <w:tcW w:w="3180" w:type="dxa"/>
            <w:tcMar>
              <w:top w:w="0" w:type="dxa"/>
              <w:bottom w:w="0" w:type="dxa"/>
            </w:tcMar>
            <w:vAlign w:val="center"/>
          </w:tcPr>
          <w:p w14:paraId="2C2D9C1B" w14:textId="77777777" w:rsidR="006A125D" w:rsidRDefault="00000000">
            <w:pPr>
              <w:keepNext/>
              <w:keepLines/>
              <w:spacing w:after="0" w:line="240" w:lineRule="auto"/>
            </w:pPr>
            <w:r>
              <w:rPr>
                <w:sz w:val="18"/>
              </w:rPr>
              <w:t>Usluge telefona, interneta, pošte i prijevoza</w:t>
            </w:r>
          </w:p>
        </w:tc>
        <w:tc>
          <w:tcPr>
            <w:tcW w:w="700" w:type="dxa"/>
            <w:tcMar>
              <w:top w:w="0" w:type="dxa"/>
              <w:bottom w:w="0" w:type="dxa"/>
            </w:tcMar>
            <w:vAlign w:val="center"/>
          </w:tcPr>
          <w:p w14:paraId="6CCA928B" w14:textId="77777777" w:rsidR="006A125D" w:rsidRDefault="00000000">
            <w:pPr>
              <w:keepNext/>
              <w:keepLines/>
              <w:spacing w:after="0" w:line="240" w:lineRule="auto"/>
            </w:pPr>
            <w:r>
              <w:rPr>
                <w:sz w:val="18"/>
              </w:rPr>
              <w:t>3231</w:t>
            </w:r>
          </w:p>
        </w:tc>
        <w:tc>
          <w:tcPr>
            <w:tcW w:w="1860" w:type="dxa"/>
            <w:tcMar>
              <w:top w:w="0" w:type="dxa"/>
              <w:bottom w:w="0" w:type="dxa"/>
            </w:tcMar>
            <w:vAlign w:val="center"/>
          </w:tcPr>
          <w:p w14:paraId="3264DD6D" w14:textId="77777777" w:rsidR="006A125D" w:rsidRDefault="00000000">
            <w:pPr>
              <w:keepNext/>
              <w:keepLines/>
              <w:spacing w:after="0" w:line="240" w:lineRule="auto"/>
              <w:jc w:val="right"/>
            </w:pPr>
            <w:r>
              <w:rPr>
                <w:sz w:val="18"/>
              </w:rPr>
              <w:t>42.841,64</w:t>
            </w:r>
          </w:p>
        </w:tc>
        <w:tc>
          <w:tcPr>
            <w:tcW w:w="1860" w:type="dxa"/>
            <w:tcMar>
              <w:top w:w="0" w:type="dxa"/>
              <w:bottom w:w="0" w:type="dxa"/>
            </w:tcMar>
            <w:vAlign w:val="center"/>
          </w:tcPr>
          <w:p w14:paraId="628F6D0C" w14:textId="77777777" w:rsidR="006A125D" w:rsidRDefault="00000000">
            <w:pPr>
              <w:keepNext/>
              <w:keepLines/>
              <w:spacing w:after="0" w:line="240" w:lineRule="auto"/>
              <w:jc w:val="right"/>
            </w:pPr>
            <w:r>
              <w:rPr>
                <w:sz w:val="18"/>
              </w:rPr>
              <w:t>70.937,31</w:t>
            </w:r>
          </w:p>
        </w:tc>
        <w:tc>
          <w:tcPr>
            <w:tcW w:w="700" w:type="dxa"/>
            <w:tcMar>
              <w:top w:w="0" w:type="dxa"/>
              <w:bottom w:w="0" w:type="dxa"/>
            </w:tcMar>
            <w:vAlign w:val="center"/>
          </w:tcPr>
          <w:p w14:paraId="33574605" w14:textId="77777777" w:rsidR="006A125D" w:rsidRDefault="00000000">
            <w:pPr>
              <w:keepNext/>
              <w:keepLines/>
              <w:spacing w:after="0" w:line="240" w:lineRule="auto"/>
              <w:jc w:val="right"/>
            </w:pPr>
            <w:r>
              <w:rPr>
                <w:sz w:val="18"/>
              </w:rPr>
              <w:t>165,6</w:t>
            </w:r>
          </w:p>
        </w:tc>
      </w:tr>
    </w:tbl>
    <w:p w14:paraId="681276F7" w14:textId="77777777" w:rsidR="006A125D" w:rsidRDefault="006A125D">
      <w:pPr>
        <w:spacing w:after="0"/>
      </w:pPr>
    </w:p>
    <w:p w14:paraId="276AD20D" w14:textId="77777777" w:rsidR="006A125D" w:rsidRDefault="00000000">
      <w:pPr>
        <w:spacing w:line="240" w:lineRule="auto"/>
        <w:jc w:val="both"/>
      </w:pPr>
      <w:r>
        <w:t>Rashodi u ovom izvještajnom razdoblju iznose 70.937,31 eura što je povećanje u odnosu na izvještajno razdoblje prethodne godine. Povećanje se odnosi na račun Hrvatske pošte u iznosu 13.944,88 eura a odnosi se na slanje novih rješenja za utvrđenje osnove plaćanja NUV-a Hrvatskih voda. Povećani su i rashodi za prijevoz udruga s područja općine u odnosu na izvještajno razdoblje prethodne godine.</w:t>
      </w:r>
    </w:p>
    <w:p w14:paraId="4808FAEA" w14:textId="77777777" w:rsidR="006A125D" w:rsidRDefault="006A125D"/>
    <w:p w14:paraId="1B8EB3B5" w14:textId="77777777" w:rsidR="006A125D" w:rsidRDefault="00000000">
      <w:pPr>
        <w:keepNext/>
        <w:spacing w:line="240" w:lineRule="auto"/>
        <w:jc w:val="center"/>
      </w:pPr>
      <w:r>
        <w:rPr>
          <w:sz w:val="28"/>
        </w:rPr>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178CD9F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4C90F248"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FAB9197"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3FD3B1A"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4D127FE"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6F8030E"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39A0A61" w14:textId="77777777" w:rsidR="006A125D" w:rsidRDefault="00000000">
            <w:pPr>
              <w:keepNext/>
              <w:keepLines/>
              <w:spacing w:after="0" w:line="240" w:lineRule="auto"/>
              <w:jc w:val="center"/>
            </w:pPr>
            <w:r>
              <w:rPr>
                <w:b/>
                <w:sz w:val="18"/>
              </w:rPr>
              <w:t>Indeks (%)</w:t>
            </w:r>
          </w:p>
        </w:tc>
      </w:tr>
      <w:tr w:rsidR="006A125D" w14:paraId="7629AD76" w14:textId="77777777">
        <w:tblPrEx>
          <w:tblCellMar>
            <w:top w:w="0" w:type="dxa"/>
            <w:bottom w:w="0" w:type="dxa"/>
          </w:tblCellMar>
        </w:tblPrEx>
        <w:trPr>
          <w:cantSplit/>
          <w:trHeight w:val="560"/>
        </w:trPr>
        <w:tc>
          <w:tcPr>
            <w:tcW w:w="700" w:type="dxa"/>
            <w:tcMar>
              <w:top w:w="0" w:type="dxa"/>
              <w:bottom w:w="0" w:type="dxa"/>
            </w:tcMar>
            <w:vAlign w:val="center"/>
          </w:tcPr>
          <w:p w14:paraId="1193CC4E" w14:textId="77777777" w:rsidR="006A125D" w:rsidRDefault="00000000">
            <w:pPr>
              <w:keepNext/>
              <w:keepLines/>
              <w:spacing w:after="0" w:line="240" w:lineRule="auto"/>
            </w:pPr>
            <w:r>
              <w:rPr>
                <w:sz w:val="18"/>
              </w:rPr>
              <w:t>3232</w:t>
            </w:r>
          </w:p>
        </w:tc>
        <w:tc>
          <w:tcPr>
            <w:tcW w:w="3180" w:type="dxa"/>
            <w:tcMar>
              <w:top w:w="0" w:type="dxa"/>
              <w:bottom w:w="0" w:type="dxa"/>
            </w:tcMar>
            <w:vAlign w:val="center"/>
          </w:tcPr>
          <w:p w14:paraId="6E117671" w14:textId="77777777" w:rsidR="006A125D" w:rsidRDefault="00000000">
            <w:pPr>
              <w:keepNext/>
              <w:keepLines/>
              <w:spacing w:after="0" w:line="240" w:lineRule="auto"/>
            </w:pPr>
            <w:r>
              <w:rPr>
                <w:sz w:val="18"/>
              </w:rPr>
              <w:t>Usluge tekućeg i investicijskog održavanja</w:t>
            </w:r>
          </w:p>
        </w:tc>
        <w:tc>
          <w:tcPr>
            <w:tcW w:w="700" w:type="dxa"/>
            <w:tcMar>
              <w:top w:w="0" w:type="dxa"/>
              <w:bottom w:w="0" w:type="dxa"/>
            </w:tcMar>
            <w:vAlign w:val="center"/>
          </w:tcPr>
          <w:p w14:paraId="2EF9D067" w14:textId="77777777" w:rsidR="006A125D" w:rsidRDefault="00000000">
            <w:pPr>
              <w:keepNext/>
              <w:keepLines/>
              <w:spacing w:after="0" w:line="240" w:lineRule="auto"/>
            </w:pPr>
            <w:r>
              <w:rPr>
                <w:sz w:val="18"/>
              </w:rPr>
              <w:t>3232</w:t>
            </w:r>
          </w:p>
        </w:tc>
        <w:tc>
          <w:tcPr>
            <w:tcW w:w="1860" w:type="dxa"/>
            <w:tcMar>
              <w:top w:w="0" w:type="dxa"/>
              <w:bottom w:w="0" w:type="dxa"/>
            </w:tcMar>
            <w:vAlign w:val="center"/>
          </w:tcPr>
          <w:p w14:paraId="40BCC2EE" w14:textId="77777777" w:rsidR="006A125D" w:rsidRDefault="00000000">
            <w:pPr>
              <w:keepNext/>
              <w:keepLines/>
              <w:spacing w:after="0" w:line="240" w:lineRule="auto"/>
              <w:jc w:val="right"/>
            </w:pPr>
            <w:r>
              <w:rPr>
                <w:sz w:val="18"/>
              </w:rPr>
              <w:t>253.522,81</w:t>
            </w:r>
          </w:p>
        </w:tc>
        <w:tc>
          <w:tcPr>
            <w:tcW w:w="1860" w:type="dxa"/>
            <w:tcMar>
              <w:top w:w="0" w:type="dxa"/>
              <w:bottom w:w="0" w:type="dxa"/>
            </w:tcMar>
            <w:vAlign w:val="center"/>
          </w:tcPr>
          <w:p w14:paraId="248EF131" w14:textId="77777777" w:rsidR="006A125D" w:rsidRDefault="00000000">
            <w:pPr>
              <w:keepNext/>
              <w:keepLines/>
              <w:spacing w:after="0" w:line="240" w:lineRule="auto"/>
              <w:jc w:val="right"/>
            </w:pPr>
            <w:r>
              <w:rPr>
                <w:sz w:val="18"/>
              </w:rPr>
              <w:t>354.775,34</w:t>
            </w:r>
          </w:p>
        </w:tc>
        <w:tc>
          <w:tcPr>
            <w:tcW w:w="700" w:type="dxa"/>
            <w:tcMar>
              <w:top w:w="0" w:type="dxa"/>
              <w:bottom w:w="0" w:type="dxa"/>
            </w:tcMar>
            <w:vAlign w:val="center"/>
          </w:tcPr>
          <w:p w14:paraId="1AC79847" w14:textId="77777777" w:rsidR="006A125D" w:rsidRDefault="00000000">
            <w:pPr>
              <w:keepNext/>
              <w:keepLines/>
              <w:spacing w:after="0" w:line="240" w:lineRule="auto"/>
              <w:jc w:val="right"/>
            </w:pPr>
            <w:r>
              <w:rPr>
                <w:sz w:val="18"/>
              </w:rPr>
              <w:t>139,9</w:t>
            </w:r>
          </w:p>
        </w:tc>
      </w:tr>
    </w:tbl>
    <w:p w14:paraId="37F0879F" w14:textId="77777777" w:rsidR="006A125D" w:rsidRDefault="006A125D">
      <w:pPr>
        <w:spacing w:after="0"/>
      </w:pPr>
    </w:p>
    <w:p w14:paraId="218FAD10" w14:textId="77777777" w:rsidR="006A125D" w:rsidRDefault="00000000">
      <w:pPr>
        <w:spacing w:line="240" w:lineRule="auto"/>
        <w:jc w:val="both"/>
      </w:pPr>
      <w:r>
        <w:t xml:space="preserve">Ostvareni rashodi u ovom izvještajnom razdoblju veći su za 139,9% u odnosu na izvještajno razdoblje prethodne godine. Razlog tome je povećanje cijena po ugovorima sklopljenim s društvom Komunalac Čepin d.o.o. te izvođenje dodatnih radova na području općine (izrada i </w:t>
      </w:r>
      <w:r>
        <w:lastRenderedPageBreak/>
        <w:t>ugradnja koševa za smeće, popravak prometnih znakova, vodoinstalaterski radovi, obnova dječjeg igrališta, limarski radovi).</w:t>
      </w:r>
    </w:p>
    <w:p w14:paraId="1FEF1189" w14:textId="77777777" w:rsidR="006A125D" w:rsidRDefault="006A125D"/>
    <w:p w14:paraId="31807CA1" w14:textId="77777777" w:rsidR="006A125D" w:rsidRDefault="0000000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02F3CDD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939E762"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D6E6B9A"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022B3FD"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E5F977F"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443D1E2"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78D79ECB" w14:textId="77777777" w:rsidR="006A125D" w:rsidRDefault="00000000">
            <w:pPr>
              <w:keepNext/>
              <w:keepLines/>
              <w:spacing w:after="0" w:line="240" w:lineRule="auto"/>
              <w:jc w:val="center"/>
            </w:pPr>
            <w:r>
              <w:rPr>
                <w:b/>
                <w:sz w:val="18"/>
              </w:rPr>
              <w:t>Indeks (%)</w:t>
            </w:r>
          </w:p>
        </w:tc>
      </w:tr>
      <w:tr w:rsidR="006A125D" w14:paraId="0CBE82DB" w14:textId="77777777">
        <w:tblPrEx>
          <w:tblCellMar>
            <w:top w:w="0" w:type="dxa"/>
            <w:bottom w:w="0" w:type="dxa"/>
          </w:tblCellMar>
        </w:tblPrEx>
        <w:trPr>
          <w:cantSplit/>
          <w:trHeight w:val="560"/>
        </w:trPr>
        <w:tc>
          <w:tcPr>
            <w:tcW w:w="700" w:type="dxa"/>
            <w:tcMar>
              <w:top w:w="0" w:type="dxa"/>
              <w:bottom w:w="0" w:type="dxa"/>
            </w:tcMar>
            <w:vAlign w:val="center"/>
          </w:tcPr>
          <w:p w14:paraId="5E2C1010" w14:textId="77777777" w:rsidR="006A125D" w:rsidRDefault="00000000">
            <w:pPr>
              <w:keepNext/>
              <w:keepLines/>
              <w:spacing w:after="0" w:line="240" w:lineRule="auto"/>
            </w:pPr>
            <w:r>
              <w:rPr>
                <w:sz w:val="18"/>
              </w:rPr>
              <w:t>3233</w:t>
            </w:r>
          </w:p>
        </w:tc>
        <w:tc>
          <w:tcPr>
            <w:tcW w:w="3180" w:type="dxa"/>
            <w:tcMar>
              <w:top w:w="0" w:type="dxa"/>
              <w:bottom w:w="0" w:type="dxa"/>
            </w:tcMar>
            <w:vAlign w:val="center"/>
          </w:tcPr>
          <w:p w14:paraId="5B710BAE" w14:textId="77777777" w:rsidR="006A125D" w:rsidRDefault="00000000">
            <w:pPr>
              <w:keepNext/>
              <w:keepLines/>
              <w:spacing w:after="0" w:line="240" w:lineRule="auto"/>
            </w:pPr>
            <w:r>
              <w:rPr>
                <w:sz w:val="18"/>
              </w:rPr>
              <w:t>Usluge promidžbe i informiranja</w:t>
            </w:r>
          </w:p>
        </w:tc>
        <w:tc>
          <w:tcPr>
            <w:tcW w:w="700" w:type="dxa"/>
            <w:tcMar>
              <w:top w:w="0" w:type="dxa"/>
              <w:bottom w:w="0" w:type="dxa"/>
            </w:tcMar>
            <w:vAlign w:val="center"/>
          </w:tcPr>
          <w:p w14:paraId="1ADA0933" w14:textId="77777777" w:rsidR="006A125D" w:rsidRDefault="00000000">
            <w:pPr>
              <w:keepNext/>
              <w:keepLines/>
              <w:spacing w:after="0" w:line="240" w:lineRule="auto"/>
            </w:pPr>
            <w:r>
              <w:rPr>
                <w:sz w:val="18"/>
              </w:rPr>
              <w:t>3233</w:t>
            </w:r>
          </w:p>
        </w:tc>
        <w:tc>
          <w:tcPr>
            <w:tcW w:w="1860" w:type="dxa"/>
            <w:tcMar>
              <w:top w:w="0" w:type="dxa"/>
              <w:bottom w:w="0" w:type="dxa"/>
            </w:tcMar>
            <w:vAlign w:val="center"/>
          </w:tcPr>
          <w:p w14:paraId="399FAE16" w14:textId="77777777" w:rsidR="006A125D" w:rsidRDefault="00000000">
            <w:pPr>
              <w:keepNext/>
              <w:keepLines/>
              <w:spacing w:after="0" w:line="240" w:lineRule="auto"/>
              <w:jc w:val="right"/>
            </w:pPr>
            <w:r>
              <w:rPr>
                <w:sz w:val="18"/>
              </w:rPr>
              <w:t>28.265,73</w:t>
            </w:r>
          </w:p>
        </w:tc>
        <w:tc>
          <w:tcPr>
            <w:tcW w:w="1860" w:type="dxa"/>
            <w:tcMar>
              <w:top w:w="0" w:type="dxa"/>
              <w:bottom w:w="0" w:type="dxa"/>
            </w:tcMar>
            <w:vAlign w:val="center"/>
          </w:tcPr>
          <w:p w14:paraId="3DE6638D" w14:textId="77777777" w:rsidR="006A125D" w:rsidRDefault="00000000">
            <w:pPr>
              <w:keepNext/>
              <w:keepLines/>
              <w:spacing w:after="0" w:line="240" w:lineRule="auto"/>
              <w:jc w:val="right"/>
            </w:pPr>
            <w:r>
              <w:rPr>
                <w:sz w:val="18"/>
              </w:rPr>
              <w:t>84.649,40</w:t>
            </w:r>
          </w:p>
        </w:tc>
        <w:tc>
          <w:tcPr>
            <w:tcW w:w="700" w:type="dxa"/>
            <w:tcMar>
              <w:top w:w="0" w:type="dxa"/>
              <w:bottom w:w="0" w:type="dxa"/>
            </w:tcMar>
            <w:vAlign w:val="center"/>
          </w:tcPr>
          <w:p w14:paraId="4A85DEBB" w14:textId="77777777" w:rsidR="006A125D" w:rsidRDefault="00000000">
            <w:pPr>
              <w:keepNext/>
              <w:keepLines/>
              <w:spacing w:after="0" w:line="240" w:lineRule="auto"/>
              <w:jc w:val="right"/>
            </w:pPr>
            <w:r>
              <w:rPr>
                <w:sz w:val="18"/>
              </w:rPr>
              <w:t>299,5</w:t>
            </w:r>
          </w:p>
        </w:tc>
      </w:tr>
    </w:tbl>
    <w:p w14:paraId="03AEB3A6" w14:textId="77777777" w:rsidR="006A125D" w:rsidRDefault="006A125D">
      <w:pPr>
        <w:spacing w:after="0"/>
      </w:pPr>
    </w:p>
    <w:p w14:paraId="602EA199" w14:textId="77777777" w:rsidR="006A125D" w:rsidRDefault="00000000">
      <w:pPr>
        <w:spacing w:line="240" w:lineRule="auto"/>
        <w:jc w:val="both"/>
      </w:pPr>
      <w:r>
        <w:t xml:space="preserve">Povećanje u izvještajnom razdoblju tekuće godine odnosi se na povećanje mjesečnih cijena po ugovorima za promidžbu, tisak kataloga projekata i biltena, odjeća s tiskom za projekt Zaželi 2, </w:t>
      </w:r>
      <w:proofErr w:type="spellStart"/>
      <w:r>
        <w:t>vizuali</w:t>
      </w:r>
      <w:proofErr w:type="spellEnd"/>
      <w:r>
        <w:t xml:space="preserve"> za Vatrogasni dom, </w:t>
      </w:r>
      <w:proofErr w:type="spellStart"/>
      <w:r>
        <w:t>Speiser</w:t>
      </w:r>
      <w:proofErr w:type="spellEnd"/>
      <w:r>
        <w:t xml:space="preserve"> i rekonstrukciju Dječjeg vrtića.</w:t>
      </w:r>
    </w:p>
    <w:p w14:paraId="77FA508E" w14:textId="77777777" w:rsidR="006A125D" w:rsidRDefault="006A125D"/>
    <w:p w14:paraId="58F15FF4" w14:textId="77777777" w:rsidR="006A125D" w:rsidRDefault="0000000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5483377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EFB03F5"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ED3B28F"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A75E8A5"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86AF3D4"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A190FD1"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E808BE1" w14:textId="77777777" w:rsidR="006A125D" w:rsidRDefault="00000000">
            <w:pPr>
              <w:keepNext/>
              <w:keepLines/>
              <w:spacing w:after="0" w:line="240" w:lineRule="auto"/>
              <w:jc w:val="center"/>
            </w:pPr>
            <w:r>
              <w:rPr>
                <w:b/>
                <w:sz w:val="18"/>
              </w:rPr>
              <w:t>Indeks (%)</w:t>
            </w:r>
          </w:p>
        </w:tc>
      </w:tr>
      <w:tr w:rsidR="006A125D" w14:paraId="5BBF48F2" w14:textId="77777777">
        <w:tblPrEx>
          <w:tblCellMar>
            <w:top w:w="0" w:type="dxa"/>
            <w:bottom w:w="0" w:type="dxa"/>
          </w:tblCellMar>
        </w:tblPrEx>
        <w:trPr>
          <w:cantSplit/>
          <w:trHeight w:val="560"/>
        </w:trPr>
        <w:tc>
          <w:tcPr>
            <w:tcW w:w="700" w:type="dxa"/>
            <w:tcMar>
              <w:top w:w="0" w:type="dxa"/>
              <w:bottom w:w="0" w:type="dxa"/>
            </w:tcMar>
            <w:vAlign w:val="center"/>
          </w:tcPr>
          <w:p w14:paraId="48F3AC78" w14:textId="77777777" w:rsidR="006A125D" w:rsidRDefault="00000000">
            <w:pPr>
              <w:keepNext/>
              <w:keepLines/>
              <w:spacing w:after="0" w:line="240" w:lineRule="auto"/>
            </w:pPr>
            <w:r>
              <w:rPr>
                <w:sz w:val="18"/>
              </w:rPr>
              <w:t>3234</w:t>
            </w:r>
          </w:p>
        </w:tc>
        <w:tc>
          <w:tcPr>
            <w:tcW w:w="3180" w:type="dxa"/>
            <w:tcMar>
              <w:top w:w="0" w:type="dxa"/>
              <w:bottom w:w="0" w:type="dxa"/>
            </w:tcMar>
            <w:vAlign w:val="center"/>
          </w:tcPr>
          <w:p w14:paraId="472C4213" w14:textId="77777777" w:rsidR="006A125D" w:rsidRDefault="00000000">
            <w:pPr>
              <w:keepNext/>
              <w:keepLines/>
              <w:spacing w:after="0" w:line="240" w:lineRule="auto"/>
            </w:pPr>
            <w:r>
              <w:rPr>
                <w:sz w:val="18"/>
              </w:rPr>
              <w:t>Komunalne usluge</w:t>
            </w:r>
          </w:p>
        </w:tc>
        <w:tc>
          <w:tcPr>
            <w:tcW w:w="700" w:type="dxa"/>
            <w:tcMar>
              <w:top w:w="0" w:type="dxa"/>
              <w:bottom w:w="0" w:type="dxa"/>
            </w:tcMar>
            <w:vAlign w:val="center"/>
          </w:tcPr>
          <w:p w14:paraId="07EF9B83" w14:textId="77777777" w:rsidR="006A125D" w:rsidRDefault="00000000">
            <w:pPr>
              <w:keepNext/>
              <w:keepLines/>
              <w:spacing w:after="0" w:line="240" w:lineRule="auto"/>
            </w:pPr>
            <w:r>
              <w:rPr>
                <w:sz w:val="18"/>
              </w:rPr>
              <w:t>3234</w:t>
            </w:r>
          </w:p>
        </w:tc>
        <w:tc>
          <w:tcPr>
            <w:tcW w:w="1860" w:type="dxa"/>
            <w:tcMar>
              <w:top w:w="0" w:type="dxa"/>
              <w:bottom w:w="0" w:type="dxa"/>
            </w:tcMar>
            <w:vAlign w:val="center"/>
          </w:tcPr>
          <w:p w14:paraId="0E2DA472" w14:textId="77777777" w:rsidR="006A125D" w:rsidRDefault="00000000">
            <w:pPr>
              <w:keepNext/>
              <w:keepLines/>
              <w:spacing w:after="0" w:line="240" w:lineRule="auto"/>
              <w:jc w:val="right"/>
            </w:pPr>
            <w:r>
              <w:rPr>
                <w:sz w:val="18"/>
              </w:rPr>
              <w:t>349.888,82</w:t>
            </w:r>
          </w:p>
        </w:tc>
        <w:tc>
          <w:tcPr>
            <w:tcW w:w="1860" w:type="dxa"/>
            <w:tcMar>
              <w:top w:w="0" w:type="dxa"/>
              <w:bottom w:w="0" w:type="dxa"/>
            </w:tcMar>
            <w:vAlign w:val="center"/>
          </w:tcPr>
          <w:p w14:paraId="080A5134" w14:textId="77777777" w:rsidR="006A125D" w:rsidRDefault="00000000">
            <w:pPr>
              <w:keepNext/>
              <w:keepLines/>
              <w:spacing w:after="0" w:line="240" w:lineRule="auto"/>
              <w:jc w:val="right"/>
            </w:pPr>
            <w:r>
              <w:rPr>
                <w:sz w:val="18"/>
              </w:rPr>
              <w:t>469.142,15</w:t>
            </w:r>
          </w:p>
        </w:tc>
        <w:tc>
          <w:tcPr>
            <w:tcW w:w="700" w:type="dxa"/>
            <w:tcMar>
              <w:top w:w="0" w:type="dxa"/>
              <w:bottom w:w="0" w:type="dxa"/>
            </w:tcMar>
            <w:vAlign w:val="center"/>
          </w:tcPr>
          <w:p w14:paraId="0ED9FCAE" w14:textId="77777777" w:rsidR="006A125D" w:rsidRDefault="00000000">
            <w:pPr>
              <w:keepNext/>
              <w:keepLines/>
              <w:spacing w:after="0" w:line="240" w:lineRule="auto"/>
              <w:jc w:val="right"/>
            </w:pPr>
            <w:r>
              <w:rPr>
                <w:sz w:val="18"/>
              </w:rPr>
              <w:t>134,1</w:t>
            </w:r>
          </w:p>
        </w:tc>
      </w:tr>
    </w:tbl>
    <w:p w14:paraId="545E4C6C" w14:textId="77777777" w:rsidR="006A125D" w:rsidRDefault="006A125D">
      <w:pPr>
        <w:spacing w:after="0"/>
      </w:pPr>
    </w:p>
    <w:p w14:paraId="40A6A347" w14:textId="77777777" w:rsidR="006A125D" w:rsidRDefault="00000000">
      <w:pPr>
        <w:spacing w:line="240" w:lineRule="auto"/>
        <w:jc w:val="both"/>
      </w:pPr>
      <w:r>
        <w:t>Rashodi su veći zbog povećanog obujma poslova i više cijene usluga.</w:t>
      </w:r>
    </w:p>
    <w:p w14:paraId="53D29EAD" w14:textId="77777777" w:rsidR="006A125D" w:rsidRDefault="006A125D"/>
    <w:p w14:paraId="521E426A" w14:textId="77777777" w:rsidR="006A125D" w:rsidRDefault="0000000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7C96E2E9"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DE6C81A"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997875A"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53075EA"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F287344"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DDAC8B4"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D52626E" w14:textId="77777777" w:rsidR="006A125D" w:rsidRDefault="00000000">
            <w:pPr>
              <w:keepNext/>
              <w:keepLines/>
              <w:spacing w:after="0" w:line="240" w:lineRule="auto"/>
              <w:jc w:val="center"/>
            </w:pPr>
            <w:r>
              <w:rPr>
                <w:b/>
                <w:sz w:val="18"/>
              </w:rPr>
              <w:t>Indeks (%)</w:t>
            </w:r>
          </w:p>
        </w:tc>
      </w:tr>
      <w:tr w:rsidR="006A125D" w14:paraId="0AAF13BF" w14:textId="77777777">
        <w:tblPrEx>
          <w:tblCellMar>
            <w:top w:w="0" w:type="dxa"/>
            <w:bottom w:w="0" w:type="dxa"/>
          </w:tblCellMar>
        </w:tblPrEx>
        <w:trPr>
          <w:cantSplit/>
          <w:trHeight w:val="560"/>
        </w:trPr>
        <w:tc>
          <w:tcPr>
            <w:tcW w:w="700" w:type="dxa"/>
            <w:tcMar>
              <w:top w:w="0" w:type="dxa"/>
              <w:bottom w:w="0" w:type="dxa"/>
            </w:tcMar>
            <w:vAlign w:val="center"/>
          </w:tcPr>
          <w:p w14:paraId="438BF363" w14:textId="77777777" w:rsidR="006A125D" w:rsidRDefault="00000000">
            <w:pPr>
              <w:keepNext/>
              <w:keepLines/>
              <w:spacing w:after="0" w:line="240" w:lineRule="auto"/>
            </w:pPr>
            <w:r>
              <w:rPr>
                <w:sz w:val="18"/>
              </w:rPr>
              <w:t>3237</w:t>
            </w:r>
          </w:p>
        </w:tc>
        <w:tc>
          <w:tcPr>
            <w:tcW w:w="3180" w:type="dxa"/>
            <w:tcMar>
              <w:top w:w="0" w:type="dxa"/>
              <w:bottom w:w="0" w:type="dxa"/>
            </w:tcMar>
            <w:vAlign w:val="center"/>
          </w:tcPr>
          <w:p w14:paraId="6B0508C9" w14:textId="77777777" w:rsidR="006A125D" w:rsidRDefault="00000000">
            <w:pPr>
              <w:keepNext/>
              <w:keepLines/>
              <w:spacing w:after="0" w:line="240" w:lineRule="auto"/>
            </w:pPr>
            <w:r>
              <w:rPr>
                <w:sz w:val="18"/>
              </w:rPr>
              <w:t>Intelektualne i osobne usluge</w:t>
            </w:r>
          </w:p>
        </w:tc>
        <w:tc>
          <w:tcPr>
            <w:tcW w:w="700" w:type="dxa"/>
            <w:tcMar>
              <w:top w:w="0" w:type="dxa"/>
              <w:bottom w:w="0" w:type="dxa"/>
            </w:tcMar>
            <w:vAlign w:val="center"/>
          </w:tcPr>
          <w:p w14:paraId="3B2EEF78" w14:textId="77777777" w:rsidR="006A125D" w:rsidRDefault="00000000">
            <w:pPr>
              <w:keepNext/>
              <w:keepLines/>
              <w:spacing w:after="0" w:line="240" w:lineRule="auto"/>
            </w:pPr>
            <w:r>
              <w:rPr>
                <w:sz w:val="18"/>
              </w:rPr>
              <w:t>3237</w:t>
            </w:r>
          </w:p>
        </w:tc>
        <w:tc>
          <w:tcPr>
            <w:tcW w:w="1860" w:type="dxa"/>
            <w:tcMar>
              <w:top w:w="0" w:type="dxa"/>
              <w:bottom w:w="0" w:type="dxa"/>
            </w:tcMar>
            <w:vAlign w:val="center"/>
          </w:tcPr>
          <w:p w14:paraId="12A5B087" w14:textId="77777777" w:rsidR="006A125D" w:rsidRDefault="00000000">
            <w:pPr>
              <w:keepNext/>
              <w:keepLines/>
              <w:spacing w:after="0" w:line="240" w:lineRule="auto"/>
              <w:jc w:val="right"/>
            </w:pPr>
            <w:r>
              <w:rPr>
                <w:sz w:val="18"/>
              </w:rPr>
              <w:t>70.665,69</w:t>
            </w:r>
          </w:p>
        </w:tc>
        <w:tc>
          <w:tcPr>
            <w:tcW w:w="1860" w:type="dxa"/>
            <w:tcMar>
              <w:top w:w="0" w:type="dxa"/>
              <w:bottom w:w="0" w:type="dxa"/>
            </w:tcMar>
            <w:vAlign w:val="center"/>
          </w:tcPr>
          <w:p w14:paraId="7971EE07" w14:textId="77777777" w:rsidR="006A125D" w:rsidRDefault="00000000">
            <w:pPr>
              <w:keepNext/>
              <w:keepLines/>
              <w:spacing w:after="0" w:line="240" w:lineRule="auto"/>
              <w:jc w:val="right"/>
            </w:pPr>
            <w:r>
              <w:rPr>
                <w:sz w:val="18"/>
              </w:rPr>
              <w:t>219.397,19</w:t>
            </w:r>
          </w:p>
        </w:tc>
        <w:tc>
          <w:tcPr>
            <w:tcW w:w="700" w:type="dxa"/>
            <w:tcMar>
              <w:top w:w="0" w:type="dxa"/>
              <w:bottom w:w="0" w:type="dxa"/>
            </w:tcMar>
            <w:vAlign w:val="center"/>
          </w:tcPr>
          <w:p w14:paraId="22C56B38" w14:textId="77777777" w:rsidR="006A125D" w:rsidRDefault="00000000">
            <w:pPr>
              <w:keepNext/>
              <w:keepLines/>
              <w:spacing w:after="0" w:line="240" w:lineRule="auto"/>
              <w:jc w:val="right"/>
            </w:pPr>
            <w:r>
              <w:rPr>
                <w:sz w:val="18"/>
              </w:rPr>
              <w:t>310,5</w:t>
            </w:r>
          </w:p>
        </w:tc>
      </w:tr>
    </w:tbl>
    <w:p w14:paraId="7995360A" w14:textId="77777777" w:rsidR="006A125D" w:rsidRDefault="006A125D">
      <w:pPr>
        <w:spacing w:after="0"/>
      </w:pPr>
    </w:p>
    <w:p w14:paraId="6C470B8D" w14:textId="77777777" w:rsidR="006A125D" w:rsidRDefault="00000000">
      <w:pPr>
        <w:spacing w:line="240" w:lineRule="auto"/>
        <w:jc w:val="both"/>
      </w:pPr>
      <w:r>
        <w:t>Ostvareni rashodi u izvještajnom razdoblju tekuće godine veći su zbog povećanja cijena savjetodavnih i odvjetničkih usluga, koprodukcije s HNK u Osijeku za Balet „Jela“, izrada projektne dokumentacije za izgradnju Vatrogasnog doma te vode i odvodnje na području Naselja prijateljstva, snimak HT stupova, izrada strategije zelene urbane obnove, usluga izrade projektne dokumentacije za izgradnju FNE u sklopu projekta: IPA INTERREG HRV-SRB, osposobljavanje radnika za projekt Zaželi 2...</w:t>
      </w:r>
    </w:p>
    <w:p w14:paraId="7C930C0B" w14:textId="77777777" w:rsidR="006A125D" w:rsidRDefault="006A125D"/>
    <w:p w14:paraId="3041EA86" w14:textId="77777777" w:rsidR="006A125D" w:rsidRDefault="00000000">
      <w:pPr>
        <w:keepNext/>
        <w:spacing w:line="240" w:lineRule="auto"/>
        <w:jc w:val="center"/>
      </w:pPr>
      <w:r>
        <w:rPr>
          <w:sz w:val="28"/>
        </w:rPr>
        <w:lastRenderedPageBreak/>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56D1640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BCED924"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96D1856"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4B888F"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C2D6C1"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AB566CD"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C35CB9F" w14:textId="77777777" w:rsidR="006A125D" w:rsidRDefault="00000000">
            <w:pPr>
              <w:keepNext/>
              <w:keepLines/>
              <w:spacing w:after="0" w:line="240" w:lineRule="auto"/>
              <w:jc w:val="center"/>
            </w:pPr>
            <w:r>
              <w:rPr>
                <w:b/>
                <w:sz w:val="18"/>
              </w:rPr>
              <w:t>Indeks (%)</w:t>
            </w:r>
          </w:p>
        </w:tc>
      </w:tr>
      <w:tr w:rsidR="006A125D" w14:paraId="23A69ACF" w14:textId="77777777">
        <w:tblPrEx>
          <w:tblCellMar>
            <w:top w:w="0" w:type="dxa"/>
            <w:bottom w:w="0" w:type="dxa"/>
          </w:tblCellMar>
        </w:tblPrEx>
        <w:trPr>
          <w:cantSplit/>
          <w:trHeight w:val="560"/>
        </w:trPr>
        <w:tc>
          <w:tcPr>
            <w:tcW w:w="700" w:type="dxa"/>
            <w:tcMar>
              <w:top w:w="0" w:type="dxa"/>
              <w:bottom w:w="0" w:type="dxa"/>
            </w:tcMar>
            <w:vAlign w:val="center"/>
          </w:tcPr>
          <w:p w14:paraId="39F8705C" w14:textId="77777777" w:rsidR="006A125D" w:rsidRDefault="00000000">
            <w:pPr>
              <w:keepNext/>
              <w:keepLines/>
              <w:spacing w:after="0" w:line="240" w:lineRule="auto"/>
            </w:pPr>
            <w:r>
              <w:rPr>
                <w:sz w:val="18"/>
              </w:rPr>
              <w:t>329</w:t>
            </w:r>
          </w:p>
        </w:tc>
        <w:tc>
          <w:tcPr>
            <w:tcW w:w="3180" w:type="dxa"/>
            <w:tcMar>
              <w:top w:w="0" w:type="dxa"/>
              <w:bottom w:w="0" w:type="dxa"/>
            </w:tcMar>
            <w:vAlign w:val="center"/>
          </w:tcPr>
          <w:p w14:paraId="0AFB5C41" w14:textId="77777777" w:rsidR="006A125D" w:rsidRDefault="00000000">
            <w:pPr>
              <w:keepNext/>
              <w:keepLines/>
              <w:spacing w:after="0" w:line="240" w:lineRule="auto"/>
            </w:pPr>
            <w:r>
              <w:rPr>
                <w:sz w:val="18"/>
              </w:rPr>
              <w:t>Ostali nespomenuti rashodi poslovanja (šifre 3291 do 3299)</w:t>
            </w:r>
          </w:p>
        </w:tc>
        <w:tc>
          <w:tcPr>
            <w:tcW w:w="700" w:type="dxa"/>
            <w:tcMar>
              <w:top w:w="0" w:type="dxa"/>
              <w:bottom w:w="0" w:type="dxa"/>
            </w:tcMar>
            <w:vAlign w:val="center"/>
          </w:tcPr>
          <w:p w14:paraId="680EF37E" w14:textId="77777777" w:rsidR="006A125D" w:rsidRDefault="00000000">
            <w:pPr>
              <w:keepNext/>
              <w:keepLines/>
              <w:spacing w:after="0" w:line="240" w:lineRule="auto"/>
            </w:pPr>
            <w:r>
              <w:rPr>
                <w:sz w:val="18"/>
              </w:rPr>
              <w:t>329</w:t>
            </w:r>
          </w:p>
        </w:tc>
        <w:tc>
          <w:tcPr>
            <w:tcW w:w="1860" w:type="dxa"/>
            <w:tcMar>
              <w:top w:w="0" w:type="dxa"/>
              <w:bottom w:w="0" w:type="dxa"/>
            </w:tcMar>
            <w:vAlign w:val="center"/>
          </w:tcPr>
          <w:p w14:paraId="20A0065C" w14:textId="77777777" w:rsidR="006A125D" w:rsidRDefault="00000000">
            <w:pPr>
              <w:keepNext/>
              <w:keepLines/>
              <w:spacing w:after="0" w:line="240" w:lineRule="auto"/>
              <w:jc w:val="right"/>
            </w:pPr>
            <w:r>
              <w:rPr>
                <w:sz w:val="18"/>
              </w:rPr>
              <w:t>120.121,54</w:t>
            </w:r>
          </w:p>
        </w:tc>
        <w:tc>
          <w:tcPr>
            <w:tcW w:w="1860" w:type="dxa"/>
            <w:tcMar>
              <w:top w:w="0" w:type="dxa"/>
              <w:bottom w:w="0" w:type="dxa"/>
            </w:tcMar>
            <w:vAlign w:val="center"/>
          </w:tcPr>
          <w:p w14:paraId="3620CC3E" w14:textId="77777777" w:rsidR="006A125D" w:rsidRDefault="00000000">
            <w:pPr>
              <w:keepNext/>
              <w:keepLines/>
              <w:spacing w:after="0" w:line="240" w:lineRule="auto"/>
              <w:jc w:val="right"/>
            </w:pPr>
            <w:r>
              <w:rPr>
                <w:sz w:val="18"/>
              </w:rPr>
              <w:t>223.676,53</w:t>
            </w:r>
          </w:p>
        </w:tc>
        <w:tc>
          <w:tcPr>
            <w:tcW w:w="700" w:type="dxa"/>
            <w:tcMar>
              <w:top w:w="0" w:type="dxa"/>
              <w:bottom w:w="0" w:type="dxa"/>
            </w:tcMar>
            <w:vAlign w:val="center"/>
          </w:tcPr>
          <w:p w14:paraId="234831AE" w14:textId="77777777" w:rsidR="006A125D" w:rsidRDefault="00000000">
            <w:pPr>
              <w:keepNext/>
              <w:keepLines/>
              <w:spacing w:after="0" w:line="240" w:lineRule="auto"/>
              <w:jc w:val="right"/>
            </w:pPr>
            <w:r>
              <w:rPr>
                <w:sz w:val="18"/>
              </w:rPr>
              <w:t>186,2</w:t>
            </w:r>
          </w:p>
        </w:tc>
      </w:tr>
    </w:tbl>
    <w:p w14:paraId="498DAC53" w14:textId="77777777" w:rsidR="006A125D" w:rsidRDefault="006A125D">
      <w:pPr>
        <w:spacing w:after="0"/>
      </w:pPr>
    </w:p>
    <w:p w14:paraId="5B18BDAC" w14:textId="77777777" w:rsidR="006A125D" w:rsidRDefault="00000000">
      <w:pPr>
        <w:spacing w:line="240" w:lineRule="auto"/>
        <w:jc w:val="both"/>
      </w:pPr>
      <w:r>
        <w:t xml:space="preserve">Rashodi su veći u odnosu na izvještajno razdoblje prethodne godine zbog povećanja osnovice za obračun naknade dužnosnicima, naknade biračkim </w:t>
      </w:r>
      <w:proofErr w:type="spellStart"/>
      <w:r>
        <w:t>odoborima</w:t>
      </w:r>
      <w:proofErr w:type="spellEnd"/>
      <w:r>
        <w:t xml:space="preserve"> i članovima povjerenstva za provedbu lokalnih izbora, zbog povećanja premija osiguranja i police javne odgovornosti, te plaćanja po rješenju Fonda za zaštitu okoliša i energetsku učinkovitost koje je plaćeno početkom 2025. godine za 2024., te dodatnih troškova za završetak sportske dvorane (</w:t>
      </w:r>
      <w:proofErr w:type="spellStart"/>
      <w:r>
        <w:t>pvc</w:t>
      </w:r>
      <w:proofErr w:type="spellEnd"/>
      <w:r>
        <w:t xml:space="preserve"> platno)...</w:t>
      </w:r>
    </w:p>
    <w:p w14:paraId="5F31614D" w14:textId="77777777" w:rsidR="006A125D" w:rsidRDefault="006A125D"/>
    <w:p w14:paraId="046E9D72" w14:textId="77777777" w:rsidR="006A125D" w:rsidRDefault="0000000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0E228E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229AC30E"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639C31C"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0FEC68B"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9136CE9"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1945D2C8"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6B3F59C" w14:textId="77777777" w:rsidR="006A125D" w:rsidRDefault="00000000">
            <w:pPr>
              <w:keepNext/>
              <w:keepLines/>
              <w:spacing w:after="0" w:line="240" w:lineRule="auto"/>
              <w:jc w:val="center"/>
            </w:pPr>
            <w:r>
              <w:rPr>
                <w:b/>
                <w:sz w:val="18"/>
              </w:rPr>
              <w:t>Indeks (%)</w:t>
            </w:r>
          </w:p>
        </w:tc>
      </w:tr>
      <w:tr w:rsidR="006A125D" w14:paraId="1073611E" w14:textId="77777777">
        <w:tblPrEx>
          <w:tblCellMar>
            <w:top w:w="0" w:type="dxa"/>
            <w:bottom w:w="0" w:type="dxa"/>
          </w:tblCellMar>
        </w:tblPrEx>
        <w:trPr>
          <w:cantSplit/>
          <w:trHeight w:val="560"/>
        </w:trPr>
        <w:tc>
          <w:tcPr>
            <w:tcW w:w="700" w:type="dxa"/>
            <w:tcMar>
              <w:top w:w="0" w:type="dxa"/>
              <w:bottom w:w="0" w:type="dxa"/>
            </w:tcMar>
            <w:vAlign w:val="center"/>
          </w:tcPr>
          <w:p w14:paraId="5F490255" w14:textId="77777777" w:rsidR="006A125D" w:rsidRDefault="00000000">
            <w:pPr>
              <w:keepNext/>
              <w:keepLines/>
              <w:spacing w:after="0" w:line="240" w:lineRule="auto"/>
            </w:pPr>
            <w:r>
              <w:rPr>
                <w:sz w:val="18"/>
              </w:rPr>
              <w:t>35</w:t>
            </w:r>
          </w:p>
        </w:tc>
        <w:tc>
          <w:tcPr>
            <w:tcW w:w="3180" w:type="dxa"/>
            <w:tcMar>
              <w:top w:w="0" w:type="dxa"/>
              <w:bottom w:w="0" w:type="dxa"/>
            </w:tcMar>
            <w:vAlign w:val="center"/>
          </w:tcPr>
          <w:p w14:paraId="0EEB68D9" w14:textId="77777777" w:rsidR="006A125D" w:rsidRDefault="00000000">
            <w:pPr>
              <w:keepNext/>
              <w:keepLines/>
              <w:spacing w:after="0" w:line="240" w:lineRule="auto"/>
            </w:pPr>
            <w:r>
              <w:rPr>
                <w:sz w:val="18"/>
              </w:rPr>
              <w:t>Subvencije (šifre 351+352+353)</w:t>
            </w:r>
          </w:p>
        </w:tc>
        <w:tc>
          <w:tcPr>
            <w:tcW w:w="700" w:type="dxa"/>
            <w:tcMar>
              <w:top w:w="0" w:type="dxa"/>
              <w:bottom w:w="0" w:type="dxa"/>
            </w:tcMar>
            <w:vAlign w:val="center"/>
          </w:tcPr>
          <w:p w14:paraId="78220ADF" w14:textId="77777777" w:rsidR="006A125D" w:rsidRDefault="00000000">
            <w:pPr>
              <w:keepNext/>
              <w:keepLines/>
              <w:spacing w:after="0" w:line="240" w:lineRule="auto"/>
            </w:pPr>
            <w:r>
              <w:rPr>
                <w:sz w:val="18"/>
              </w:rPr>
              <w:t>35</w:t>
            </w:r>
          </w:p>
        </w:tc>
        <w:tc>
          <w:tcPr>
            <w:tcW w:w="1860" w:type="dxa"/>
            <w:tcMar>
              <w:top w:w="0" w:type="dxa"/>
              <w:bottom w:w="0" w:type="dxa"/>
            </w:tcMar>
            <w:vAlign w:val="center"/>
          </w:tcPr>
          <w:p w14:paraId="4D07F623" w14:textId="77777777" w:rsidR="006A125D" w:rsidRDefault="00000000">
            <w:pPr>
              <w:keepNext/>
              <w:keepLines/>
              <w:spacing w:after="0" w:line="240" w:lineRule="auto"/>
              <w:jc w:val="right"/>
            </w:pPr>
            <w:r>
              <w:rPr>
                <w:sz w:val="18"/>
              </w:rPr>
              <w:t>7.200,00</w:t>
            </w:r>
          </w:p>
        </w:tc>
        <w:tc>
          <w:tcPr>
            <w:tcW w:w="1860" w:type="dxa"/>
            <w:tcMar>
              <w:top w:w="0" w:type="dxa"/>
              <w:bottom w:w="0" w:type="dxa"/>
            </w:tcMar>
            <w:vAlign w:val="center"/>
          </w:tcPr>
          <w:p w14:paraId="457A708F" w14:textId="77777777" w:rsidR="006A125D" w:rsidRDefault="00000000">
            <w:pPr>
              <w:keepNext/>
              <w:keepLines/>
              <w:spacing w:after="0" w:line="240" w:lineRule="auto"/>
              <w:jc w:val="right"/>
            </w:pPr>
            <w:r>
              <w:rPr>
                <w:sz w:val="18"/>
              </w:rPr>
              <w:t>0,00</w:t>
            </w:r>
          </w:p>
        </w:tc>
        <w:tc>
          <w:tcPr>
            <w:tcW w:w="700" w:type="dxa"/>
            <w:tcMar>
              <w:top w:w="0" w:type="dxa"/>
              <w:bottom w:w="0" w:type="dxa"/>
            </w:tcMar>
            <w:vAlign w:val="center"/>
          </w:tcPr>
          <w:p w14:paraId="053D019C" w14:textId="77777777" w:rsidR="006A125D" w:rsidRDefault="00000000">
            <w:pPr>
              <w:keepNext/>
              <w:keepLines/>
              <w:spacing w:after="0" w:line="240" w:lineRule="auto"/>
              <w:jc w:val="right"/>
            </w:pPr>
            <w:r>
              <w:rPr>
                <w:sz w:val="18"/>
              </w:rPr>
              <w:t>0</w:t>
            </w:r>
          </w:p>
        </w:tc>
      </w:tr>
    </w:tbl>
    <w:p w14:paraId="35616C27" w14:textId="77777777" w:rsidR="006A125D" w:rsidRDefault="006A125D">
      <w:pPr>
        <w:spacing w:after="0"/>
      </w:pPr>
    </w:p>
    <w:p w14:paraId="757EED1B" w14:textId="77777777" w:rsidR="006A125D" w:rsidRDefault="00000000">
      <w:pPr>
        <w:spacing w:line="240" w:lineRule="auto"/>
        <w:jc w:val="both"/>
      </w:pPr>
      <w:r>
        <w:t>U prethodnom razdoblju subvencije obrtnicima (Dječji obrt Sunce) knjižene su na račun 3523, a u 2025. godini rashodi se knjiže na račun 3722 sukladno novom Pravilniku o proračunskom računovodstvu i Računskom planu.</w:t>
      </w:r>
    </w:p>
    <w:p w14:paraId="215B15F4" w14:textId="77777777" w:rsidR="006A125D" w:rsidRDefault="006A125D"/>
    <w:p w14:paraId="3E65EFE8" w14:textId="77777777" w:rsidR="006A125D" w:rsidRDefault="0000000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7FD17FC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7B16EF2"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CFA27B0"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43D14262"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4DEC9353"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07DCBC4F"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A30DE6B" w14:textId="77777777" w:rsidR="006A125D" w:rsidRDefault="00000000">
            <w:pPr>
              <w:keepNext/>
              <w:keepLines/>
              <w:spacing w:after="0" w:line="240" w:lineRule="auto"/>
              <w:jc w:val="center"/>
            </w:pPr>
            <w:r>
              <w:rPr>
                <w:b/>
                <w:sz w:val="18"/>
              </w:rPr>
              <w:t>Indeks (%)</w:t>
            </w:r>
          </w:p>
        </w:tc>
      </w:tr>
      <w:tr w:rsidR="006A125D" w14:paraId="646D6F64" w14:textId="77777777">
        <w:tblPrEx>
          <w:tblCellMar>
            <w:top w:w="0" w:type="dxa"/>
            <w:bottom w:w="0" w:type="dxa"/>
          </w:tblCellMar>
        </w:tblPrEx>
        <w:trPr>
          <w:cantSplit/>
          <w:trHeight w:val="560"/>
        </w:trPr>
        <w:tc>
          <w:tcPr>
            <w:tcW w:w="700" w:type="dxa"/>
            <w:tcMar>
              <w:top w:w="0" w:type="dxa"/>
              <w:bottom w:w="0" w:type="dxa"/>
            </w:tcMar>
            <w:vAlign w:val="center"/>
          </w:tcPr>
          <w:p w14:paraId="23206F2E" w14:textId="77777777" w:rsidR="006A125D" w:rsidRDefault="00000000">
            <w:pPr>
              <w:keepNext/>
              <w:keepLines/>
              <w:spacing w:after="0" w:line="240" w:lineRule="auto"/>
            </w:pPr>
            <w:r>
              <w:rPr>
                <w:sz w:val="18"/>
              </w:rPr>
              <w:t>3661</w:t>
            </w:r>
          </w:p>
        </w:tc>
        <w:tc>
          <w:tcPr>
            <w:tcW w:w="3180" w:type="dxa"/>
            <w:tcMar>
              <w:top w:w="0" w:type="dxa"/>
              <w:bottom w:w="0" w:type="dxa"/>
            </w:tcMar>
            <w:vAlign w:val="center"/>
          </w:tcPr>
          <w:p w14:paraId="2E5608DC" w14:textId="77777777" w:rsidR="006A125D" w:rsidRDefault="00000000">
            <w:pPr>
              <w:keepNext/>
              <w:keepLines/>
              <w:spacing w:after="0" w:line="240" w:lineRule="auto"/>
            </w:pPr>
            <w:r>
              <w:rPr>
                <w:sz w:val="18"/>
              </w:rPr>
              <w:t>Tekuće pomoći proračunskim korisnicima drugih proračuna</w:t>
            </w:r>
          </w:p>
        </w:tc>
        <w:tc>
          <w:tcPr>
            <w:tcW w:w="700" w:type="dxa"/>
            <w:tcMar>
              <w:top w:w="0" w:type="dxa"/>
              <w:bottom w:w="0" w:type="dxa"/>
            </w:tcMar>
            <w:vAlign w:val="center"/>
          </w:tcPr>
          <w:p w14:paraId="359EAEE6" w14:textId="77777777" w:rsidR="006A125D" w:rsidRDefault="00000000">
            <w:pPr>
              <w:keepNext/>
              <w:keepLines/>
              <w:spacing w:after="0" w:line="240" w:lineRule="auto"/>
            </w:pPr>
            <w:r>
              <w:rPr>
                <w:sz w:val="18"/>
              </w:rPr>
              <w:t>3661</w:t>
            </w:r>
          </w:p>
        </w:tc>
        <w:tc>
          <w:tcPr>
            <w:tcW w:w="1860" w:type="dxa"/>
            <w:tcMar>
              <w:top w:w="0" w:type="dxa"/>
              <w:bottom w:w="0" w:type="dxa"/>
            </w:tcMar>
            <w:vAlign w:val="center"/>
          </w:tcPr>
          <w:p w14:paraId="23A87244" w14:textId="77777777" w:rsidR="006A125D" w:rsidRDefault="00000000">
            <w:pPr>
              <w:keepNext/>
              <w:keepLines/>
              <w:spacing w:after="0" w:line="240" w:lineRule="auto"/>
              <w:jc w:val="right"/>
            </w:pPr>
            <w:r>
              <w:rPr>
                <w:sz w:val="18"/>
              </w:rPr>
              <w:t>14.203,44</w:t>
            </w:r>
          </w:p>
        </w:tc>
        <w:tc>
          <w:tcPr>
            <w:tcW w:w="1860" w:type="dxa"/>
            <w:tcMar>
              <w:top w:w="0" w:type="dxa"/>
              <w:bottom w:w="0" w:type="dxa"/>
            </w:tcMar>
            <w:vAlign w:val="center"/>
          </w:tcPr>
          <w:p w14:paraId="103463D6" w14:textId="77777777" w:rsidR="006A125D" w:rsidRDefault="00000000">
            <w:pPr>
              <w:keepNext/>
              <w:keepLines/>
              <w:spacing w:after="0" w:line="240" w:lineRule="auto"/>
              <w:jc w:val="right"/>
            </w:pPr>
            <w:r>
              <w:rPr>
                <w:sz w:val="18"/>
              </w:rPr>
              <w:t>53.544,30</w:t>
            </w:r>
          </w:p>
        </w:tc>
        <w:tc>
          <w:tcPr>
            <w:tcW w:w="700" w:type="dxa"/>
            <w:tcMar>
              <w:top w:w="0" w:type="dxa"/>
              <w:bottom w:w="0" w:type="dxa"/>
            </w:tcMar>
            <w:vAlign w:val="center"/>
          </w:tcPr>
          <w:p w14:paraId="44E6C702" w14:textId="77777777" w:rsidR="006A125D" w:rsidRDefault="00000000">
            <w:pPr>
              <w:keepNext/>
              <w:keepLines/>
              <w:spacing w:after="0" w:line="240" w:lineRule="auto"/>
              <w:jc w:val="right"/>
            </w:pPr>
            <w:r>
              <w:rPr>
                <w:sz w:val="18"/>
              </w:rPr>
              <w:t>377,0</w:t>
            </w:r>
          </w:p>
        </w:tc>
      </w:tr>
    </w:tbl>
    <w:p w14:paraId="55573D19" w14:textId="77777777" w:rsidR="006A125D" w:rsidRDefault="006A125D">
      <w:pPr>
        <w:spacing w:after="0"/>
      </w:pPr>
    </w:p>
    <w:p w14:paraId="0ECFC5E5" w14:textId="77777777" w:rsidR="006A125D" w:rsidRDefault="00000000">
      <w:pPr>
        <w:spacing w:line="240" w:lineRule="auto"/>
        <w:jc w:val="both"/>
      </w:pPr>
      <w:r>
        <w:t>Rashodi su veći jer su u prethodnom razdoblju rashodi za Dječji vrtić Osijek knjiženi su na račun 3811, a u 2025. godini rashodi se knjiže na račun 3661 sukladno novom Pravilniku o proračunskom računovodstvu i Računskom planu. Rashodi su veći i zbog započinjanja projekta Edukativne, kulturne i sportske aktivnosti djece predškolske dobi i djece od I. do IV. razreda osnovnih škola u iznosu 27.940,00 eura.</w:t>
      </w:r>
    </w:p>
    <w:p w14:paraId="53E7A58D" w14:textId="77777777" w:rsidR="006A125D" w:rsidRDefault="006A125D"/>
    <w:p w14:paraId="78C6F75F" w14:textId="77777777" w:rsidR="006A125D" w:rsidRDefault="0000000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0A30B973"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40CFFF6"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01C42B01"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B28666"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4DAEA60"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D5E1DE4"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1EADBCCD" w14:textId="77777777" w:rsidR="006A125D" w:rsidRDefault="00000000">
            <w:pPr>
              <w:keepNext/>
              <w:keepLines/>
              <w:spacing w:after="0" w:line="240" w:lineRule="auto"/>
              <w:jc w:val="center"/>
            </w:pPr>
            <w:r>
              <w:rPr>
                <w:b/>
                <w:sz w:val="18"/>
              </w:rPr>
              <w:t>Indeks (%)</w:t>
            </w:r>
          </w:p>
        </w:tc>
      </w:tr>
      <w:tr w:rsidR="006A125D" w14:paraId="7A6CC3E0" w14:textId="77777777">
        <w:tblPrEx>
          <w:tblCellMar>
            <w:top w:w="0" w:type="dxa"/>
            <w:bottom w:w="0" w:type="dxa"/>
          </w:tblCellMar>
        </w:tblPrEx>
        <w:trPr>
          <w:cantSplit/>
          <w:trHeight w:val="560"/>
        </w:trPr>
        <w:tc>
          <w:tcPr>
            <w:tcW w:w="700" w:type="dxa"/>
            <w:tcMar>
              <w:top w:w="0" w:type="dxa"/>
              <w:bottom w:w="0" w:type="dxa"/>
            </w:tcMar>
            <w:vAlign w:val="center"/>
          </w:tcPr>
          <w:p w14:paraId="0A47345E" w14:textId="77777777" w:rsidR="006A125D" w:rsidRDefault="00000000">
            <w:pPr>
              <w:keepNext/>
              <w:keepLines/>
              <w:spacing w:after="0" w:line="240" w:lineRule="auto"/>
            </w:pPr>
            <w:r>
              <w:rPr>
                <w:sz w:val="18"/>
              </w:rPr>
              <w:t>3721</w:t>
            </w:r>
          </w:p>
        </w:tc>
        <w:tc>
          <w:tcPr>
            <w:tcW w:w="3180" w:type="dxa"/>
            <w:tcMar>
              <w:top w:w="0" w:type="dxa"/>
              <w:bottom w:w="0" w:type="dxa"/>
            </w:tcMar>
            <w:vAlign w:val="center"/>
          </w:tcPr>
          <w:p w14:paraId="68B0A77A" w14:textId="77777777" w:rsidR="006A125D" w:rsidRDefault="00000000">
            <w:pPr>
              <w:keepNext/>
              <w:keepLines/>
              <w:spacing w:after="0" w:line="240" w:lineRule="auto"/>
            </w:pPr>
            <w:r>
              <w:rPr>
                <w:sz w:val="18"/>
              </w:rPr>
              <w:t>Naknade građanima i kućanstvima u novcu</w:t>
            </w:r>
          </w:p>
        </w:tc>
        <w:tc>
          <w:tcPr>
            <w:tcW w:w="700" w:type="dxa"/>
            <w:tcMar>
              <w:top w:w="0" w:type="dxa"/>
              <w:bottom w:w="0" w:type="dxa"/>
            </w:tcMar>
            <w:vAlign w:val="center"/>
          </w:tcPr>
          <w:p w14:paraId="5C15EF66" w14:textId="77777777" w:rsidR="006A125D" w:rsidRDefault="00000000">
            <w:pPr>
              <w:keepNext/>
              <w:keepLines/>
              <w:spacing w:after="0" w:line="240" w:lineRule="auto"/>
            </w:pPr>
            <w:r>
              <w:rPr>
                <w:sz w:val="18"/>
              </w:rPr>
              <w:t>3721</w:t>
            </w:r>
          </w:p>
        </w:tc>
        <w:tc>
          <w:tcPr>
            <w:tcW w:w="1860" w:type="dxa"/>
            <w:tcMar>
              <w:top w:w="0" w:type="dxa"/>
              <w:bottom w:w="0" w:type="dxa"/>
            </w:tcMar>
            <w:vAlign w:val="center"/>
          </w:tcPr>
          <w:p w14:paraId="508E1477" w14:textId="77777777" w:rsidR="006A125D" w:rsidRDefault="00000000">
            <w:pPr>
              <w:keepNext/>
              <w:keepLines/>
              <w:spacing w:after="0" w:line="240" w:lineRule="auto"/>
              <w:jc w:val="right"/>
            </w:pPr>
            <w:r>
              <w:rPr>
                <w:sz w:val="18"/>
              </w:rPr>
              <w:t>127.324,67</w:t>
            </w:r>
          </w:p>
        </w:tc>
        <w:tc>
          <w:tcPr>
            <w:tcW w:w="1860" w:type="dxa"/>
            <w:tcMar>
              <w:top w:w="0" w:type="dxa"/>
              <w:bottom w:w="0" w:type="dxa"/>
            </w:tcMar>
            <w:vAlign w:val="center"/>
          </w:tcPr>
          <w:p w14:paraId="75B3EF18" w14:textId="77777777" w:rsidR="006A125D" w:rsidRDefault="00000000">
            <w:pPr>
              <w:keepNext/>
              <w:keepLines/>
              <w:spacing w:after="0" w:line="240" w:lineRule="auto"/>
              <w:jc w:val="right"/>
            </w:pPr>
            <w:r>
              <w:rPr>
                <w:sz w:val="18"/>
              </w:rPr>
              <w:t>170.341,49</w:t>
            </w:r>
          </w:p>
        </w:tc>
        <w:tc>
          <w:tcPr>
            <w:tcW w:w="700" w:type="dxa"/>
            <w:tcMar>
              <w:top w:w="0" w:type="dxa"/>
              <w:bottom w:w="0" w:type="dxa"/>
            </w:tcMar>
            <w:vAlign w:val="center"/>
          </w:tcPr>
          <w:p w14:paraId="12E87211" w14:textId="77777777" w:rsidR="006A125D" w:rsidRDefault="00000000">
            <w:pPr>
              <w:keepNext/>
              <w:keepLines/>
              <w:spacing w:after="0" w:line="240" w:lineRule="auto"/>
              <w:jc w:val="right"/>
            </w:pPr>
            <w:r>
              <w:rPr>
                <w:sz w:val="18"/>
              </w:rPr>
              <w:t>133,8</w:t>
            </w:r>
          </w:p>
        </w:tc>
      </w:tr>
    </w:tbl>
    <w:p w14:paraId="39A35014" w14:textId="77777777" w:rsidR="006A125D" w:rsidRDefault="006A125D">
      <w:pPr>
        <w:spacing w:after="0"/>
      </w:pPr>
    </w:p>
    <w:p w14:paraId="4943D1BA" w14:textId="77777777" w:rsidR="006A125D" w:rsidRDefault="00000000">
      <w:pPr>
        <w:spacing w:line="240" w:lineRule="auto"/>
        <w:jc w:val="both"/>
      </w:pPr>
      <w:r>
        <w:lastRenderedPageBreak/>
        <w:t xml:space="preserve">Rashodi se odnose na mjere demografske obnove, stipendije, naknade za novorođenu djecu, isplate </w:t>
      </w:r>
      <w:proofErr w:type="spellStart"/>
      <w:r>
        <w:t>uskrsnica</w:t>
      </w:r>
      <w:proofErr w:type="spellEnd"/>
      <w:r>
        <w:t xml:space="preserve"> umirovljenicima, a veći su zbog knjiženja rashoda za stipendije u 2025. godini koje se odnose i na 2024. Također, iznosi stipendija su povećani u odnosu na prošlu godinu.</w:t>
      </w:r>
    </w:p>
    <w:p w14:paraId="49D1AAD4" w14:textId="77777777" w:rsidR="006A125D" w:rsidRDefault="006A125D"/>
    <w:p w14:paraId="0B937431" w14:textId="77777777" w:rsidR="006A125D" w:rsidRDefault="00000000">
      <w:pPr>
        <w:keepNext/>
        <w:spacing w:line="240" w:lineRule="auto"/>
        <w:jc w:val="center"/>
      </w:pPr>
      <w:r>
        <w:rPr>
          <w:sz w:val="28"/>
        </w:rPr>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E36FA87"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2DD21DE"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6868FF9D"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F230C32"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E978BB2"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36D6E19D"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C9A157B" w14:textId="77777777" w:rsidR="006A125D" w:rsidRDefault="00000000">
            <w:pPr>
              <w:keepNext/>
              <w:keepLines/>
              <w:spacing w:after="0" w:line="240" w:lineRule="auto"/>
              <w:jc w:val="center"/>
            </w:pPr>
            <w:r>
              <w:rPr>
                <w:b/>
                <w:sz w:val="18"/>
              </w:rPr>
              <w:t>Indeks (%)</w:t>
            </w:r>
          </w:p>
        </w:tc>
      </w:tr>
      <w:tr w:rsidR="006A125D" w14:paraId="4B3E320C" w14:textId="77777777">
        <w:tblPrEx>
          <w:tblCellMar>
            <w:top w:w="0" w:type="dxa"/>
            <w:bottom w:w="0" w:type="dxa"/>
          </w:tblCellMar>
        </w:tblPrEx>
        <w:trPr>
          <w:cantSplit/>
          <w:trHeight w:val="560"/>
        </w:trPr>
        <w:tc>
          <w:tcPr>
            <w:tcW w:w="700" w:type="dxa"/>
            <w:tcMar>
              <w:top w:w="0" w:type="dxa"/>
              <w:bottom w:w="0" w:type="dxa"/>
            </w:tcMar>
            <w:vAlign w:val="center"/>
          </w:tcPr>
          <w:p w14:paraId="4E360E25" w14:textId="77777777" w:rsidR="006A125D" w:rsidRDefault="00000000">
            <w:pPr>
              <w:keepNext/>
              <w:keepLines/>
              <w:spacing w:after="0" w:line="240" w:lineRule="auto"/>
            </w:pPr>
            <w:r>
              <w:rPr>
                <w:sz w:val="18"/>
              </w:rPr>
              <w:t>3811</w:t>
            </w:r>
          </w:p>
        </w:tc>
        <w:tc>
          <w:tcPr>
            <w:tcW w:w="3180" w:type="dxa"/>
            <w:tcMar>
              <w:top w:w="0" w:type="dxa"/>
              <w:bottom w:w="0" w:type="dxa"/>
            </w:tcMar>
            <w:vAlign w:val="center"/>
          </w:tcPr>
          <w:p w14:paraId="0AC97A16" w14:textId="77777777" w:rsidR="006A125D" w:rsidRDefault="00000000">
            <w:pPr>
              <w:keepNext/>
              <w:keepLines/>
              <w:spacing w:after="0" w:line="240" w:lineRule="auto"/>
            </w:pPr>
            <w:r>
              <w:rPr>
                <w:sz w:val="18"/>
              </w:rPr>
              <w:t>Tekuće donacije u novcu</w:t>
            </w:r>
          </w:p>
        </w:tc>
        <w:tc>
          <w:tcPr>
            <w:tcW w:w="700" w:type="dxa"/>
            <w:tcMar>
              <w:top w:w="0" w:type="dxa"/>
              <w:bottom w:w="0" w:type="dxa"/>
            </w:tcMar>
            <w:vAlign w:val="center"/>
          </w:tcPr>
          <w:p w14:paraId="6E5D4CE5" w14:textId="77777777" w:rsidR="006A125D" w:rsidRDefault="00000000">
            <w:pPr>
              <w:keepNext/>
              <w:keepLines/>
              <w:spacing w:after="0" w:line="240" w:lineRule="auto"/>
            </w:pPr>
            <w:r>
              <w:rPr>
                <w:sz w:val="18"/>
              </w:rPr>
              <w:t>3811</w:t>
            </w:r>
          </w:p>
        </w:tc>
        <w:tc>
          <w:tcPr>
            <w:tcW w:w="1860" w:type="dxa"/>
            <w:tcMar>
              <w:top w:w="0" w:type="dxa"/>
              <w:bottom w:w="0" w:type="dxa"/>
            </w:tcMar>
            <w:vAlign w:val="center"/>
          </w:tcPr>
          <w:p w14:paraId="0C5BE228" w14:textId="77777777" w:rsidR="006A125D" w:rsidRDefault="00000000">
            <w:pPr>
              <w:keepNext/>
              <w:keepLines/>
              <w:spacing w:after="0" w:line="240" w:lineRule="auto"/>
              <w:jc w:val="right"/>
            </w:pPr>
            <w:r>
              <w:rPr>
                <w:sz w:val="18"/>
              </w:rPr>
              <w:t>238.248,81</w:t>
            </w:r>
          </w:p>
        </w:tc>
        <w:tc>
          <w:tcPr>
            <w:tcW w:w="1860" w:type="dxa"/>
            <w:tcMar>
              <w:top w:w="0" w:type="dxa"/>
              <w:bottom w:w="0" w:type="dxa"/>
            </w:tcMar>
            <w:vAlign w:val="center"/>
          </w:tcPr>
          <w:p w14:paraId="3BFFE0D6" w14:textId="77777777" w:rsidR="006A125D" w:rsidRDefault="00000000">
            <w:pPr>
              <w:keepNext/>
              <w:keepLines/>
              <w:spacing w:after="0" w:line="240" w:lineRule="auto"/>
              <w:jc w:val="right"/>
            </w:pPr>
            <w:r>
              <w:rPr>
                <w:sz w:val="18"/>
              </w:rPr>
              <w:t>263.868,71</w:t>
            </w:r>
          </w:p>
        </w:tc>
        <w:tc>
          <w:tcPr>
            <w:tcW w:w="700" w:type="dxa"/>
            <w:tcMar>
              <w:top w:w="0" w:type="dxa"/>
              <w:bottom w:w="0" w:type="dxa"/>
            </w:tcMar>
            <w:vAlign w:val="center"/>
          </w:tcPr>
          <w:p w14:paraId="62615672" w14:textId="77777777" w:rsidR="006A125D" w:rsidRDefault="00000000">
            <w:pPr>
              <w:keepNext/>
              <w:keepLines/>
              <w:spacing w:after="0" w:line="240" w:lineRule="auto"/>
              <w:jc w:val="right"/>
            </w:pPr>
            <w:r>
              <w:rPr>
                <w:sz w:val="18"/>
              </w:rPr>
              <w:t>110,8</w:t>
            </w:r>
          </w:p>
        </w:tc>
      </w:tr>
    </w:tbl>
    <w:p w14:paraId="2C12E003" w14:textId="77777777" w:rsidR="006A125D" w:rsidRDefault="006A125D">
      <w:pPr>
        <w:spacing w:after="0"/>
      </w:pPr>
    </w:p>
    <w:p w14:paraId="6B288AE9" w14:textId="77777777" w:rsidR="006A125D" w:rsidRDefault="00000000">
      <w:pPr>
        <w:spacing w:line="240" w:lineRule="auto"/>
        <w:jc w:val="both"/>
      </w:pPr>
      <w:r>
        <w:t>Najveće povećanje u izvještajnom razdoblju tekuće godine u odnosu na prethodnu godinu odnosi se na tekuće donacije vjerskim zajednicama. U 2024. iznosile su 1.360,48 eura, a u ovoj godini iznose 21.887,50 eura.</w:t>
      </w:r>
    </w:p>
    <w:p w14:paraId="0D65F2DA" w14:textId="77777777" w:rsidR="006A125D" w:rsidRDefault="006A125D"/>
    <w:p w14:paraId="1B223F62" w14:textId="77777777" w:rsidR="006A125D" w:rsidRDefault="0000000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2E95750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BE65032"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9F4D7B"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036C2DD2"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826855D"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8D723D8"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086CDE3" w14:textId="77777777" w:rsidR="006A125D" w:rsidRDefault="00000000">
            <w:pPr>
              <w:keepNext/>
              <w:keepLines/>
              <w:spacing w:after="0" w:line="240" w:lineRule="auto"/>
              <w:jc w:val="center"/>
            </w:pPr>
            <w:r>
              <w:rPr>
                <w:b/>
                <w:sz w:val="18"/>
              </w:rPr>
              <w:t>Indeks (%)</w:t>
            </w:r>
          </w:p>
        </w:tc>
      </w:tr>
      <w:tr w:rsidR="006A125D" w14:paraId="4E709347" w14:textId="77777777">
        <w:tblPrEx>
          <w:tblCellMar>
            <w:top w:w="0" w:type="dxa"/>
            <w:bottom w:w="0" w:type="dxa"/>
          </w:tblCellMar>
        </w:tblPrEx>
        <w:trPr>
          <w:cantSplit/>
          <w:trHeight w:val="560"/>
        </w:trPr>
        <w:tc>
          <w:tcPr>
            <w:tcW w:w="700" w:type="dxa"/>
            <w:tcMar>
              <w:top w:w="0" w:type="dxa"/>
              <w:bottom w:w="0" w:type="dxa"/>
            </w:tcMar>
            <w:vAlign w:val="center"/>
          </w:tcPr>
          <w:p w14:paraId="36B849AB" w14:textId="77777777" w:rsidR="006A125D" w:rsidRDefault="00000000">
            <w:pPr>
              <w:keepNext/>
              <w:keepLines/>
              <w:spacing w:after="0" w:line="240" w:lineRule="auto"/>
            </w:pPr>
            <w:r>
              <w:rPr>
                <w:sz w:val="18"/>
              </w:rPr>
              <w:t>3821</w:t>
            </w:r>
          </w:p>
        </w:tc>
        <w:tc>
          <w:tcPr>
            <w:tcW w:w="3180" w:type="dxa"/>
            <w:tcMar>
              <w:top w:w="0" w:type="dxa"/>
              <w:bottom w:w="0" w:type="dxa"/>
            </w:tcMar>
            <w:vAlign w:val="center"/>
          </w:tcPr>
          <w:p w14:paraId="56EEE5B5" w14:textId="77777777" w:rsidR="006A125D" w:rsidRDefault="00000000">
            <w:pPr>
              <w:keepNext/>
              <w:keepLines/>
              <w:spacing w:after="0" w:line="240" w:lineRule="auto"/>
            </w:pPr>
            <w:r>
              <w:rPr>
                <w:sz w:val="18"/>
              </w:rPr>
              <w:t>Kapitalne donacije neprofitnim organizacijama</w:t>
            </w:r>
          </w:p>
        </w:tc>
        <w:tc>
          <w:tcPr>
            <w:tcW w:w="700" w:type="dxa"/>
            <w:tcMar>
              <w:top w:w="0" w:type="dxa"/>
              <w:bottom w:w="0" w:type="dxa"/>
            </w:tcMar>
            <w:vAlign w:val="center"/>
          </w:tcPr>
          <w:p w14:paraId="25EF40A0" w14:textId="77777777" w:rsidR="006A125D" w:rsidRDefault="00000000">
            <w:pPr>
              <w:keepNext/>
              <w:keepLines/>
              <w:spacing w:after="0" w:line="240" w:lineRule="auto"/>
            </w:pPr>
            <w:r>
              <w:rPr>
                <w:sz w:val="18"/>
              </w:rPr>
              <w:t>3821</w:t>
            </w:r>
          </w:p>
        </w:tc>
        <w:tc>
          <w:tcPr>
            <w:tcW w:w="1860" w:type="dxa"/>
            <w:tcMar>
              <w:top w:w="0" w:type="dxa"/>
              <w:bottom w:w="0" w:type="dxa"/>
            </w:tcMar>
            <w:vAlign w:val="center"/>
          </w:tcPr>
          <w:p w14:paraId="668EF4DE" w14:textId="77777777" w:rsidR="006A125D" w:rsidRDefault="00000000">
            <w:pPr>
              <w:keepNext/>
              <w:keepLines/>
              <w:spacing w:after="0" w:line="240" w:lineRule="auto"/>
              <w:jc w:val="right"/>
            </w:pPr>
            <w:r>
              <w:rPr>
                <w:sz w:val="18"/>
              </w:rPr>
              <w:t>0,00</w:t>
            </w:r>
          </w:p>
        </w:tc>
        <w:tc>
          <w:tcPr>
            <w:tcW w:w="1860" w:type="dxa"/>
            <w:tcMar>
              <w:top w:w="0" w:type="dxa"/>
              <w:bottom w:w="0" w:type="dxa"/>
            </w:tcMar>
            <w:vAlign w:val="center"/>
          </w:tcPr>
          <w:p w14:paraId="1554D213" w14:textId="77777777" w:rsidR="006A125D" w:rsidRDefault="00000000">
            <w:pPr>
              <w:keepNext/>
              <w:keepLines/>
              <w:spacing w:after="0" w:line="240" w:lineRule="auto"/>
              <w:jc w:val="right"/>
            </w:pPr>
            <w:r>
              <w:rPr>
                <w:sz w:val="18"/>
              </w:rPr>
              <w:t>20.450,00</w:t>
            </w:r>
          </w:p>
        </w:tc>
        <w:tc>
          <w:tcPr>
            <w:tcW w:w="700" w:type="dxa"/>
            <w:tcMar>
              <w:top w:w="0" w:type="dxa"/>
              <w:bottom w:w="0" w:type="dxa"/>
            </w:tcMar>
            <w:vAlign w:val="center"/>
          </w:tcPr>
          <w:p w14:paraId="720BEC2E" w14:textId="77777777" w:rsidR="006A125D" w:rsidRDefault="00000000">
            <w:pPr>
              <w:keepNext/>
              <w:keepLines/>
              <w:spacing w:after="0" w:line="240" w:lineRule="auto"/>
              <w:jc w:val="right"/>
            </w:pPr>
            <w:r>
              <w:rPr>
                <w:sz w:val="18"/>
              </w:rPr>
              <w:t>-</w:t>
            </w:r>
          </w:p>
        </w:tc>
      </w:tr>
    </w:tbl>
    <w:p w14:paraId="4FCEDA4B" w14:textId="77777777" w:rsidR="006A125D" w:rsidRDefault="006A125D">
      <w:pPr>
        <w:spacing w:after="0"/>
      </w:pPr>
    </w:p>
    <w:p w14:paraId="4D993E5F" w14:textId="77777777" w:rsidR="006A125D" w:rsidRDefault="00000000">
      <w:pPr>
        <w:spacing w:line="240" w:lineRule="auto"/>
        <w:jc w:val="both"/>
      </w:pPr>
      <w:r>
        <w:t>Rashodi su veći zbog kapitalnih donacija u ovom razdoblju za udruge na području općine.</w:t>
      </w:r>
    </w:p>
    <w:p w14:paraId="0AFA9529" w14:textId="77777777" w:rsidR="006A125D" w:rsidRDefault="006A125D"/>
    <w:p w14:paraId="4A3906C8" w14:textId="77777777" w:rsidR="006A125D" w:rsidRDefault="0000000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806DC6F"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8C60C0A"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30C885E5"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17C566C1"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B03B54F"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284F5E35"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7DDEE2D" w14:textId="77777777" w:rsidR="006A125D" w:rsidRDefault="00000000">
            <w:pPr>
              <w:keepNext/>
              <w:keepLines/>
              <w:spacing w:after="0" w:line="240" w:lineRule="auto"/>
              <w:jc w:val="center"/>
            </w:pPr>
            <w:r>
              <w:rPr>
                <w:b/>
                <w:sz w:val="18"/>
              </w:rPr>
              <w:t>Indeks (%)</w:t>
            </w:r>
          </w:p>
        </w:tc>
      </w:tr>
      <w:tr w:rsidR="006A125D" w14:paraId="273CA268" w14:textId="77777777">
        <w:tblPrEx>
          <w:tblCellMar>
            <w:top w:w="0" w:type="dxa"/>
            <w:bottom w:w="0" w:type="dxa"/>
          </w:tblCellMar>
        </w:tblPrEx>
        <w:trPr>
          <w:cantSplit/>
          <w:trHeight w:val="560"/>
        </w:trPr>
        <w:tc>
          <w:tcPr>
            <w:tcW w:w="700" w:type="dxa"/>
            <w:tcMar>
              <w:top w:w="0" w:type="dxa"/>
              <w:bottom w:w="0" w:type="dxa"/>
            </w:tcMar>
            <w:vAlign w:val="center"/>
          </w:tcPr>
          <w:p w14:paraId="6A436EFB" w14:textId="77777777" w:rsidR="006A125D" w:rsidRDefault="00000000">
            <w:pPr>
              <w:keepNext/>
              <w:keepLines/>
              <w:spacing w:after="0" w:line="240" w:lineRule="auto"/>
            </w:pPr>
            <w:r>
              <w:rPr>
                <w:sz w:val="18"/>
              </w:rPr>
              <w:t>3865</w:t>
            </w:r>
          </w:p>
        </w:tc>
        <w:tc>
          <w:tcPr>
            <w:tcW w:w="3180" w:type="dxa"/>
            <w:tcMar>
              <w:top w:w="0" w:type="dxa"/>
              <w:bottom w:w="0" w:type="dxa"/>
            </w:tcMar>
            <w:vAlign w:val="center"/>
          </w:tcPr>
          <w:p w14:paraId="38057929" w14:textId="77777777" w:rsidR="006A125D" w:rsidRDefault="00000000">
            <w:pPr>
              <w:keepNext/>
              <w:keepLines/>
              <w:spacing w:after="0" w:line="240" w:lineRule="auto"/>
            </w:pPr>
            <w:r>
              <w:rPr>
                <w:sz w:val="18"/>
              </w:rPr>
              <w:t>Kapitalne pomoći trgovačkim društvima i obrtnicima po protestiranim jamstvima u tuzemstvu i inozemstvu</w:t>
            </w:r>
          </w:p>
        </w:tc>
        <w:tc>
          <w:tcPr>
            <w:tcW w:w="700" w:type="dxa"/>
            <w:tcMar>
              <w:top w:w="0" w:type="dxa"/>
              <w:bottom w:w="0" w:type="dxa"/>
            </w:tcMar>
            <w:vAlign w:val="center"/>
          </w:tcPr>
          <w:p w14:paraId="4505FBE7" w14:textId="77777777" w:rsidR="006A125D" w:rsidRDefault="00000000">
            <w:pPr>
              <w:keepNext/>
              <w:keepLines/>
              <w:spacing w:after="0" w:line="240" w:lineRule="auto"/>
            </w:pPr>
            <w:r>
              <w:rPr>
                <w:sz w:val="18"/>
              </w:rPr>
              <w:t>3865</w:t>
            </w:r>
          </w:p>
        </w:tc>
        <w:tc>
          <w:tcPr>
            <w:tcW w:w="1860" w:type="dxa"/>
            <w:tcMar>
              <w:top w:w="0" w:type="dxa"/>
              <w:bottom w:w="0" w:type="dxa"/>
            </w:tcMar>
            <w:vAlign w:val="center"/>
          </w:tcPr>
          <w:p w14:paraId="119D96E0" w14:textId="77777777" w:rsidR="006A125D" w:rsidRDefault="00000000">
            <w:pPr>
              <w:keepNext/>
              <w:keepLines/>
              <w:spacing w:after="0" w:line="240" w:lineRule="auto"/>
              <w:jc w:val="right"/>
            </w:pPr>
            <w:r>
              <w:rPr>
                <w:sz w:val="18"/>
              </w:rPr>
              <w:t>0,00</w:t>
            </w:r>
          </w:p>
        </w:tc>
        <w:tc>
          <w:tcPr>
            <w:tcW w:w="1860" w:type="dxa"/>
            <w:tcMar>
              <w:top w:w="0" w:type="dxa"/>
              <w:bottom w:w="0" w:type="dxa"/>
            </w:tcMar>
            <w:vAlign w:val="center"/>
          </w:tcPr>
          <w:p w14:paraId="65B1CD90" w14:textId="77777777" w:rsidR="006A125D" w:rsidRDefault="00000000">
            <w:pPr>
              <w:keepNext/>
              <w:keepLines/>
              <w:spacing w:after="0" w:line="240" w:lineRule="auto"/>
              <w:jc w:val="right"/>
            </w:pPr>
            <w:r>
              <w:rPr>
                <w:sz w:val="18"/>
              </w:rPr>
              <w:t>33.744,27</w:t>
            </w:r>
          </w:p>
        </w:tc>
        <w:tc>
          <w:tcPr>
            <w:tcW w:w="700" w:type="dxa"/>
            <w:tcMar>
              <w:top w:w="0" w:type="dxa"/>
              <w:bottom w:w="0" w:type="dxa"/>
            </w:tcMar>
            <w:vAlign w:val="center"/>
          </w:tcPr>
          <w:p w14:paraId="7128045F" w14:textId="77777777" w:rsidR="006A125D" w:rsidRDefault="00000000">
            <w:pPr>
              <w:keepNext/>
              <w:keepLines/>
              <w:spacing w:after="0" w:line="240" w:lineRule="auto"/>
              <w:jc w:val="right"/>
            </w:pPr>
            <w:r>
              <w:rPr>
                <w:sz w:val="18"/>
              </w:rPr>
              <w:t>-</w:t>
            </w:r>
          </w:p>
        </w:tc>
      </w:tr>
    </w:tbl>
    <w:p w14:paraId="5C2F26DA" w14:textId="77777777" w:rsidR="006A125D" w:rsidRDefault="006A125D">
      <w:pPr>
        <w:spacing w:after="0"/>
      </w:pPr>
    </w:p>
    <w:p w14:paraId="17F26672" w14:textId="77777777" w:rsidR="006A125D" w:rsidRDefault="00000000">
      <w:pPr>
        <w:spacing w:line="240" w:lineRule="auto"/>
        <w:jc w:val="both"/>
      </w:pPr>
      <w:r>
        <w:t>Kapitalne pomoći u iznosu od 33.744,27 eura odnose se na plaćanje zahtjeva (glavnica i kamate) prema Vodovodu Osijek za Projekt Osijek.</w:t>
      </w:r>
    </w:p>
    <w:p w14:paraId="4950D072" w14:textId="77777777" w:rsidR="006A125D" w:rsidRDefault="006A125D"/>
    <w:p w14:paraId="3C59859F" w14:textId="77777777" w:rsidR="006A125D" w:rsidRDefault="00000000">
      <w:pPr>
        <w:keepNext/>
        <w:spacing w:line="240" w:lineRule="auto"/>
        <w:jc w:val="center"/>
      </w:pPr>
      <w:r>
        <w:rPr>
          <w:sz w:val="28"/>
        </w:rPr>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141175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168074B"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EEC9C9E"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7641211A"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3B9FDC21"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7ECCB739"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E9E12BA" w14:textId="77777777" w:rsidR="006A125D" w:rsidRDefault="00000000">
            <w:pPr>
              <w:keepNext/>
              <w:keepLines/>
              <w:spacing w:after="0" w:line="240" w:lineRule="auto"/>
              <w:jc w:val="center"/>
            </w:pPr>
            <w:r>
              <w:rPr>
                <w:b/>
                <w:sz w:val="18"/>
              </w:rPr>
              <w:t>Indeks (%)</w:t>
            </w:r>
          </w:p>
        </w:tc>
      </w:tr>
      <w:tr w:rsidR="006A125D" w14:paraId="1596ED3D" w14:textId="77777777">
        <w:tblPrEx>
          <w:tblCellMar>
            <w:top w:w="0" w:type="dxa"/>
            <w:bottom w:w="0" w:type="dxa"/>
          </w:tblCellMar>
        </w:tblPrEx>
        <w:trPr>
          <w:cantSplit/>
          <w:trHeight w:val="560"/>
        </w:trPr>
        <w:tc>
          <w:tcPr>
            <w:tcW w:w="700" w:type="dxa"/>
            <w:tcMar>
              <w:top w:w="0" w:type="dxa"/>
              <w:bottom w:w="0" w:type="dxa"/>
            </w:tcMar>
            <w:vAlign w:val="center"/>
          </w:tcPr>
          <w:p w14:paraId="1929B0DD" w14:textId="77777777" w:rsidR="006A125D" w:rsidRDefault="00000000">
            <w:pPr>
              <w:keepNext/>
              <w:keepLines/>
              <w:spacing w:after="0" w:line="240" w:lineRule="auto"/>
            </w:pPr>
            <w:r>
              <w:rPr>
                <w:sz w:val="18"/>
              </w:rPr>
              <w:t>7111</w:t>
            </w:r>
          </w:p>
        </w:tc>
        <w:tc>
          <w:tcPr>
            <w:tcW w:w="3180" w:type="dxa"/>
            <w:tcMar>
              <w:top w:w="0" w:type="dxa"/>
              <w:bottom w:w="0" w:type="dxa"/>
            </w:tcMar>
            <w:vAlign w:val="center"/>
          </w:tcPr>
          <w:p w14:paraId="6F72C79A" w14:textId="77777777" w:rsidR="006A125D" w:rsidRDefault="00000000">
            <w:pPr>
              <w:keepNext/>
              <w:keepLines/>
              <w:spacing w:after="0" w:line="240" w:lineRule="auto"/>
            </w:pPr>
            <w:r>
              <w:rPr>
                <w:sz w:val="18"/>
              </w:rPr>
              <w:t>Zemljište</w:t>
            </w:r>
          </w:p>
        </w:tc>
        <w:tc>
          <w:tcPr>
            <w:tcW w:w="700" w:type="dxa"/>
            <w:tcMar>
              <w:top w:w="0" w:type="dxa"/>
              <w:bottom w:w="0" w:type="dxa"/>
            </w:tcMar>
            <w:vAlign w:val="center"/>
          </w:tcPr>
          <w:p w14:paraId="21605D6D" w14:textId="77777777" w:rsidR="006A125D" w:rsidRDefault="00000000">
            <w:pPr>
              <w:keepNext/>
              <w:keepLines/>
              <w:spacing w:after="0" w:line="240" w:lineRule="auto"/>
            </w:pPr>
            <w:r>
              <w:rPr>
                <w:sz w:val="18"/>
              </w:rPr>
              <w:t>7111</w:t>
            </w:r>
          </w:p>
        </w:tc>
        <w:tc>
          <w:tcPr>
            <w:tcW w:w="1860" w:type="dxa"/>
            <w:tcMar>
              <w:top w:w="0" w:type="dxa"/>
              <w:bottom w:w="0" w:type="dxa"/>
            </w:tcMar>
            <w:vAlign w:val="center"/>
          </w:tcPr>
          <w:p w14:paraId="08ECE974" w14:textId="77777777" w:rsidR="006A125D" w:rsidRDefault="00000000">
            <w:pPr>
              <w:keepNext/>
              <w:keepLines/>
              <w:spacing w:after="0" w:line="240" w:lineRule="auto"/>
              <w:jc w:val="right"/>
            </w:pPr>
            <w:r>
              <w:rPr>
                <w:sz w:val="18"/>
              </w:rPr>
              <w:t>322.000,00</w:t>
            </w:r>
          </w:p>
        </w:tc>
        <w:tc>
          <w:tcPr>
            <w:tcW w:w="1860" w:type="dxa"/>
            <w:tcMar>
              <w:top w:w="0" w:type="dxa"/>
              <w:bottom w:w="0" w:type="dxa"/>
            </w:tcMar>
            <w:vAlign w:val="center"/>
          </w:tcPr>
          <w:p w14:paraId="03C4CC3A" w14:textId="77777777" w:rsidR="006A125D" w:rsidRDefault="00000000">
            <w:pPr>
              <w:keepNext/>
              <w:keepLines/>
              <w:spacing w:after="0" w:line="240" w:lineRule="auto"/>
              <w:jc w:val="right"/>
            </w:pPr>
            <w:r>
              <w:rPr>
                <w:sz w:val="18"/>
              </w:rPr>
              <w:t>520.800,00</w:t>
            </w:r>
          </w:p>
        </w:tc>
        <w:tc>
          <w:tcPr>
            <w:tcW w:w="700" w:type="dxa"/>
            <w:tcMar>
              <w:top w:w="0" w:type="dxa"/>
              <w:bottom w:w="0" w:type="dxa"/>
            </w:tcMar>
            <w:vAlign w:val="center"/>
          </w:tcPr>
          <w:p w14:paraId="2FDB92AE" w14:textId="77777777" w:rsidR="006A125D" w:rsidRDefault="00000000">
            <w:pPr>
              <w:keepNext/>
              <w:keepLines/>
              <w:spacing w:after="0" w:line="240" w:lineRule="auto"/>
              <w:jc w:val="right"/>
            </w:pPr>
            <w:r>
              <w:rPr>
                <w:sz w:val="18"/>
              </w:rPr>
              <w:t>161,7</w:t>
            </w:r>
          </w:p>
        </w:tc>
      </w:tr>
    </w:tbl>
    <w:p w14:paraId="5A17F056" w14:textId="77777777" w:rsidR="006A125D" w:rsidRDefault="006A125D">
      <w:pPr>
        <w:spacing w:after="0"/>
      </w:pPr>
    </w:p>
    <w:p w14:paraId="636BEF67" w14:textId="77777777" w:rsidR="006A125D" w:rsidRDefault="00000000">
      <w:pPr>
        <w:spacing w:line="240" w:lineRule="auto"/>
        <w:jc w:val="both"/>
      </w:pPr>
      <w:r>
        <w:lastRenderedPageBreak/>
        <w:t>Rashodi su veći u ovom izvještajnom razdoblju zbog objavljenih natječaja za prodaju i zamjenu zemljišta.</w:t>
      </w:r>
    </w:p>
    <w:p w14:paraId="3ECC2C4B" w14:textId="77777777" w:rsidR="006A125D" w:rsidRDefault="006A125D"/>
    <w:p w14:paraId="39CC05F9" w14:textId="77777777" w:rsidR="006A125D" w:rsidRDefault="0000000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52DA52A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30DFB4B"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A6E6448"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809F78B"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16A8415"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E5A0BBF"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6F816A5D" w14:textId="77777777" w:rsidR="006A125D" w:rsidRDefault="00000000">
            <w:pPr>
              <w:keepNext/>
              <w:keepLines/>
              <w:spacing w:after="0" w:line="240" w:lineRule="auto"/>
              <w:jc w:val="center"/>
            </w:pPr>
            <w:r>
              <w:rPr>
                <w:b/>
                <w:sz w:val="18"/>
              </w:rPr>
              <w:t>Indeks (%)</w:t>
            </w:r>
          </w:p>
        </w:tc>
      </w:tr>
      <w:tr w:rsidR="006A125D" w14:paraId="5A91D43D" w14:textId="77777777">
        <w:tblPrEx>
          <w:tblCellMar>
            <w:top w:w="0" w:type="dxa"/>
            <w:bottom w:w="0" w:type="dxa"/>
          </w:tblCellMar>
        </w:tblPrEx>
        <w:trPr>
          <w:cantSplit/>
          <w:trHeight w:val="560"/>
        </w:trPr>
        <w:tc>
          <w:tcPr>
            <w:tcW w:w="700" w:type="dxa"/>
            <w:tcMar>
              <w:top w:w="0" w:type="dxa"/>
              <w:bottom w:w="0" w:type="dxa"/>
            </w:tcMar>
            <w:vAlign w:val="center"/>
          </w:tcPr>
          <w:p w14:paraId="1CA23EB8" w14:textId="77777777" w:rsidR="006A125D" w:rsidRDefault="00000000">
            <w:pPr>
              <w:keepNext/>
              <w:keepLines/>
              <w:spacing w:after="0" w:line="240" w:lineRule="auto"/>
            </w:pPr>
            <w:r>
              <w:rPr>
                <w:sz w:val="18"/>
              </w:rPr>
              <w:t>4212</w:t>
            </w:r>
          </w:p>
        </w:tc>
        <w:tc>
          <w:tcPr>
            <w:tcW w:w="3180" w:type="dxa"/>
            <w:tcMar>
              <w:top w:w="0" w:type="dxa"/>
              <w:bottom w:w="0" w:type="dxa"/>
            </w:tcMar>
            <w:vAlign w:val="center"/>
          </w:tcPr>
          <w:p w14:paraId="174CCF18" w14:textId="77777777" w:rsidR="006A125D" w:rsidRDefault="00000000">
            <w:pPr>
              <w:keepNext/>
              <w:keepLines/>
              <w:spacing w:after="0" w:line="240" w:lineRule="auto"/>
            </w:pPr>
            <w:r>
              <w:rPr>
                <w:sz w:val="18"/>
              </w:rPr>
              <w:t>Poslovni objekti</w:t>
            </w:r>
          </w:p>
        </w:tc>
        <w:tc>
          <w:tcPr>
            <w:tcW w:w="700" w:type="dxa"/>
            <w:tcMar>
              <w:top w:w="0" w:type="dxa"/>
              <w:bottom w:w="0" w:type="dxa"/>
            </w:tcMar>
            <w:vAlign w:val="center"/>
          </w:tcPr>
          <w:p w14:paraId="78B192AC" w14:textId="77777777" w:rsidR="006A125D" w:rsidRDefault="00000000">
            <w:pPr>
              <w:keepNext/>
              <w:keepLines/>
              <w:spacing w:after="0" w:line="240" w:lineRule="auto"/>
            </w:pPr>
            <w:r>
              <w:rPr>
                <w:sz w:val="18"/>
              </w:rPr>
              <w:t>4212</w:t>
            </w:r>
          </w:p>
        </w:tc>
        <w:tc>
          <w:tcPr>
            <w:tcW w:w="1860" w:type="dxa"/>
            <w:tcMar>
              <w:top w:w="0" w:type="dxa"/>
              <w:bottom w:w="0" w:type="dxa"/>
            </w:tcMar>
            <w:vAlign w:val="center"/>
          </w:tcPr>
          <w:p w14:paraId="4F54D136" w14:textId="77777777" w:rsidR="006A125D" w:rsidRDefault="00000000">
            <w:pPr>
              <w:keepNext/>
              <w:keepLines/>
              <w:spacing w:after="0" w:line="240" w:lineRule="auto"/>
              <w:jc w:val="right"/>
            </w:pPr>
            <w:r>
              <w:rPr>
                <w:sz w:val="18"/>
              </w:rPr>
              <w:t>410.320,68</w:t>
            </w:r>
          </w:p>
        </w:tc>
        <w:tc>
          <w:tcPr>
            <w:tcW w:w="1860" w:type="dxa"/>
            <w:tcMar>
              <w:top w:w="0" w:type="dxa"/>
              <w:bottom w:w="0" w:type="dxa"/>
            </w:tcMar>
            <w:vAlign w:val="center"/>
          </w:tcPr>
          <w:p w14:paraId="03EAE0DC" w14:textId="77777777" w:rsidR="006A125D" w:rsidRDefault="00000000">
            <w:pPr>
              <w:keepNext/>
              <w:keepLines/>
              <w:spacing w:after="0" w:line="240" w:lineRule="auto"/>
              <w:jc w:val="right"/>
            </w:pPr>
            <w:r>
              <w:rPr>
                <w:sz w:val="18"/>
              </w:rPr>
              <w:t>1.173.821,14</w:t>
            </w:r>
          </w:p>
        </w:tc>
        <w:tc>
          <w:tcPr>
            <w:tcW w:w="700" w:type="dxa"/>
            <w:tcMar>
              <w:top w:w="0" w:type="dxa"/>
              <w:bottom w:w="0" w:type="dxa"/>
            </w:tcMar>
            <w:vAlign w:val="center"/>
          </w:tcPr>
          <w:p w14:paraId="64C0FC09" w14:textId="77777777" w:rsidR="006A125D" w:rsidRDefault="00000000">
            <w:pPr>
              <w:keepNext/>
              <w:keepLines/>
              <w:spacing w:after="0" w:line="240" w:lineRule="auto"/>
              <w:jc w:val="right"/>
            </w:pPr>
            <w:r>
              <w:rPr>
                <w:sz w:val="18"/>
              </w:rPr>
              <w:t>286,1</w:t>
            </w:r>
          </w:p>
        </w:tc>
      </w:tr>
    </w:tbl>
    <w:p w14:paraId="27880260" w14:textId="77777777" w:rsidR="006A125D" w:rsidRDefault="006A125D">
      <w:pPr>
        <w:spacing w:after="0"/>
      </w:pPr>
    </w:p>
    <w:p w14:paraId="27CFEB07" w14:textId="77777777" w:rsidR="006A125D" w:rsidRDefault="00000000">
      <w:pPr>
        <w:spacing w:line="240" w:lineRule="auto"/>
        <w:jc w:val="both"/>
      </w:pPr>
      <w:r>
        <w:t xml:space="preserve">Rashodi su veći u ovom izvještajnom razdoblju zbog novih projekata -  izvođenja radova energetske obnove na zgradi Dječjeg vrtića Zvončić, projektne dokumentacije rekonstrukcije i nadogradnje ljetnikovca </w:t>
      </w:r>
      <w:proofErr w:type="spellStart"/>
      <w:r>
        <w:t>Speiser</w:t>
      </w:r>
      <w:proofErr w:type="spellEnd"/>
      <w:r>
        <w:t>, energetske obnove zgrade stare općine te zbog radova na sportskoj dvorani.</w:t>
      </w:r>
    </w:p>
    <w:p w14:paraId="6E783053" w14:textId="77777777" w:rsidR="006A125D" w:rsidRDefault="006A125D"/>
    <w:p w14:paraId="13E2D69E" w14:textId="77777777" w:rsidR="006A125D" w:rsidRDefault="0000000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15A3C0F5"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0050259F"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DBFFD69"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96964E8"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0B51169D"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0DD41F4"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0337FAF8" w14:textId="77777777" w:rsidR="006A125D" w:rsidRDefault="00000000">
            <w:pPr>
              <w:keepNext/>
              <w:keepLines/>
              <w:spacing w:after="0" w:line="240" w:lineRule="auto"/>
              <w:jc w:val="center"/>
            </w:pPr>
            <w:r>
              <w:rPr>
                <w:b/>
                <w:sz w:val="18"/>
              </w:rPr>
              <w:t>Indeks (%)</w:t>
            </w:r>
          </w:p>
        </w:tc>
      </w:tr>
      <w:tr w:rsidR="006A125D" w14:paraId="2AAEE506" w14:textId="77777777">
        <w:tblPrEx>
          <w:tblCellMar>
            <w:top w:w="0" w:type="dxa"/>
            <w:bottom w:w="0" w:type="dxa"/>
          </w:tblCellMar>
        </w:tblPrEx>
        <w:trPr>
          <w:cantSplit/>
          <w:trHeight w:val="560"/>
        </w:trPr>
        <w:tc>
          <w:tcPr>
            <w:tcW w:w="700" w:type="dxa"/>
            <w:tcMar>
              <w:top w:w="0" w:type="dxa"/>
              <w:bottom w:w="0" w:type="dxa"/>
            </w:tcMar>
            <w:vAlign w:val="center"/>
          </w:tcPr>
          <w:p w14:paraId="462E27B6" w14:textId="77777777" w:rsidR="006A125D" w:rsidRDefault="00000000">
            <w:pPr>
              <w:keepNext/>
              <w:keepLines/>
              <w:spacing w:after="0" w:line="240" w:lineRule="auto"/>
            </w:pPr>
            <w:r>
              <w:rPr>
                <w:sz w:val="18"/>
              </w:rPr>
              <w:t>4213</w:t>
            </w:r>
          </w:p>
        </w:tc>
        <w:tc>
          <w:tcPr>
            <w:tcW w:w="3180" w:type="dxa"/>
            <w:tcMar>
              <w:top w:w="0" w:type="dxa"/>
              <w:bottom w:w="0" w:type="dxa"/>
            </w:tcMar>
            <w:vAlign w:val="center"/>
          </w:tcPr>
          <w:p w14:paraId="73B63E24" w14:textId="77777777" w:rsidR="006A125D" w:rsidRDefault="00000000">
            <w:pPr>
              <w:keepNext/>
              <w:keepLines/>
              <w:spacing w:after="0" w:line="240" w:lineRule="auto"/>
            </w:pPr>
            <w:r>
              <w:rPr>
                <w:sz w:val="18"/>
              </w:rPr>
              <w:t>Ceste, željeznice i ostali prometni objekti</w:t>
            </w:r>
          </w:p>
        </w:tc>
        <w:tc>
          <w:tcPr>
            <w:tcW w:w="700" w:type="dxa"/>
            <w:tcMar>
              <w:top w:w="0" w:type="dxa"/>
              <w:bottom w:w="0" w:type="dxa"/>
            </w:tcMar>
            <w:vAlign w:val="center"/>
          </w:tcPr>
          <w:p w14:paraId="317AE0CB" w14:textId="77777777" w:rsidR="006A125D" w:rsidRDefault="00000000">
            <w:pPr>
              <w:keepNext/>
              <w:keepLines/>
              <w:spacing w:after="0" w:line="240" w:lineRule="auto"/>
            </w:pPr>
            <w:r>
              <w:rPr>
                <w:sz w:val="18"/>
              </w:rPr>
              <w:t>4213</w:t>
            </w:r>
          </w:p>
        </w:tc>
        <w:tc>
          <w:tcPr>
            <w:tcW w:w="1860" w:type="dxa"/>
            <w:tcMar>
              <w:top w:w="0" w:type="dxa"/>
              <w:bottom w:w="0" w:type="dxa"/>
            </w:tcMar>
            <w:vAlign w:val="center"/>
          </w:tcPr>
          <w:p w14:paraId="520E8D02" w14:textId="77777777" w:rsidR="006A125D" w:rsidRDefault="00000000">
            <w:pPr>
              <w:keepNext/>
              <w:keepLines/>
              <w:spacing w:after="0" w:line="240" w:lineRule="auto"/>
              <w:jc w:val="right"/>
            </w:pPr>
            <w:r>
              <w:rPr>
                <w:sz w:val="18"/>
              </w:rPr>
              <w:t>11.250,00</w:t>
            </w:r>
          </w:p>
        </w:tc>
        <w:tc>
          <w:tcPr>
            <w:tcW w:w="1860" w:type="dxa"/>
            <w:tcMar>
              <w:top w:w="0" w:type="dxa"/>
              <w:bottom w:w="0" w:type="dxa"/>
            </w:tcMar>
            <w:vAlign w:val="center"/>
          </w:tcPr>
          <w:p w14:paraId="13446796" w14:textId="77777777" w:rsidR="006A125D" w:rsidRDefault="00000000">
            <w:pPr>
              <w:keepNext/>
              <w:keepLines/>
              <w:spacing w:after="0" w:line="240" w:lineRule="auto"/>
              <w:jc w:val="right"/>
            </w:pPr>
            <w:r>
              <w:rPr>
                <w:sz w:val="18"/>
              </w:rPr>
              <w:t>145.581,82</w:t>
            </w:r>
          </w:p>
        </w:tc>
        <w:tc>
          <w:tcPr>
            <w:tcW w:w="700" w:type="dxa"/>
            <w:tcMar>
              <w:top w:w="0" w:type="dxa"/>
              <w:bottom w:w="0" w:type="dxa"/>
            </w:tcMar>
            <w:vAlign w:val="center"/>
          </w:tcPr>
          <w:p w14:paraId="4246A183" w14:textId="77777777" w:rsidR="006A125D" w:rsidRDefault="00000000">
            <w:pPr>
              <w:keepNext/>
              <w:keepLines/>
              <w:spacing w:after="0" w:line="240" w:lineRule="auto"/>
              <w:jc w:val="right"/>
            </w:pPr>
            <w:r>
              <w:rPr>
                <w:sz w:val="18"/>
              </w:rPr>
              <w:t>1294,1</w:t>
            </w:r>
          </w:p>
        </w:tc>
      </w:tr>
    </w:tbl>
    <w:p w14:paraId="1294E722" w14:textId="77777777" w:rsidR="006A125D" w:rsidRDefault="006A125D">
      <w:pPr>
        <w:spacing w:after="0"/>
      </w:pPr>
    </w:p>
    <w:p w14:paraId="7573AF8E" w14:textId="77777777" w:rsidR="006A125D" w:rsidRDefault="00000000">
      <w:pPr>
        <w:spacing w:line="240" w:lineRule="auto"/>
        <w:jc w:val="both"/>
      </w:pPr>
      <w:r>
        <w:t xml:space="preserve">Rashodi su veći zbog postupka javne nabave za biciklističko-pješačku stazu u Ulici </w:t>
      </w:r>
      <w:proofErr w:type="spellStart"/>
      <w:r>
        <w:t>B.J.Jelačića</w:t>
      </w:r>
      <w:proofErr w:type="spellEnd"/>
      <w:r>
        <w:t xml:space="preserve"> te započinjanja radova na izgradnji iste.</w:t>
      </w:r>
    </w:p>
    <w:p w14:paraId="7222E13B" w14:textId="77777777" w:rsidR="006A125D" w:rsidRDefault="006A125D"/>
    <w:p w14:paraId="3F277E02" w14:textId="77777777" w:rsidR="006A125D" w:rsidRDefault="0000000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1A274D1A"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6919EA04"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22338CBF"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AB4771"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7BE07B89"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6DF02D87"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20F9080" w14:textId="77777777" w:rsidR="006A125D" w:rsidRDefault="00000000">
            <w:pPr>
              <w:keepNext/>
              <w:keepLines/>
              <w:spacing w:after="0" w:line="240" w:lineRule="auto"/>
              <w:jc w:val="center"/>
            </w:pPr>
            <w:r>
              <w:rPr>
                <w:b/>
                <w:sz w:val="18"/>
              </w:rPr>
              <w:t>Indeks (%)</w:t>
            </w:r>
          </w:p>
        </w:tc>
      </w:tr>
      <w:tr w:rsidR="006A125D" w14:paraId="495ECA72" w14:textId="77777777">
        <w:tblPrEx>
          <w:tblCellMar>
            <w:top w:w="0" w:type="dxa"/>
            <w:bottom w:w="0" w:type="dxa"/>
          </w:tblCellMar>
        </w:tblPrEx>
        <w:trPr>
          <w:cantSplit/>
          <w:trHeight w:val="560"/>
        </w:trPr>
        <w:tc>
          <w:tcPr>
            <w:tcW w:w="700" w:type="dxa"/>
            <w:tcMar>
              <w:top w:w="0" w:type="dxa"/>
              <w:bottom w:w="0" w:type="dxa"/>
            </w:tcMar>
            <w:vAlign w:val="center"/>
          </w:tcPr>
          <w:p w14:paraId="70C5A6AC" w14:textId="77777777" w:rsidR="006A125D" w:rsidRDefault="00000000">
            <w:pPr>
              <w:keepNext/>
              <w:keepLines/>
              <w:spacing w:after="0" w:line="240" w:lineRule="auto"/>
            </w:pPr>
            <w:r>
              <w:rPr>
                <w:sz w:val="18"/>
              </w:rPr>
              <w:t>4214</w:t>
            </w:r>
          </w:p>
        </w:tc>
        <w:tc>
          <w:tcPr>
            <w:tcW w:w="3180" w:type="dxa"/>
            <w:tcMar>
              <w:top w:w="0" w:type="dxa"/>
              <w:bottom w:w="0" w:type="dxa"/>
            </w:tcMar>
            <w:vAlign w:val="center"/>
          </w:tcPr>
          <w:p w14:paraId="69981895" w14:textId="77777777" w:rsidR="006A125D" w:rsidRDefault="00000000">
            <w:pPr>
              <w:keepNext/>
              <w:keepLines/>
              <w:spacing w:after="0" w:line="240" w:lineRule="auto"/>
            </w:pPr>
            <w:r>
              <w:rPr>
                <w:sz w:val="18"/>
              </w:rPr>
              <w:t>Ostali građevinski objekti</w:t>
            </w:r>
          </w:p>
        </w:tc>
        <w:tc>
          <w:tcPr>
            <w:tcW w:w="700" w:type="dxa"/>
            <w:tcMar>
              <w:top w:w="0" w:type="dxa"/>
              <w:bottom w:w="0" w:type="dxa"/>
            </w:tcMar>
            <w:vAlign w:val="center"/>
          </w:tcPr>
          <w:p w14:paraId="0AF3EEF6" w14:textId="77777777" w:rsidR="006A125D" w:rsidRDefault="00000000">
            <w:pPr>
              <w:keepNext/>
              <w:keepLines/>
              <w:spacing w:after="0" w:line="240" w:lineRule="auto"/>
            </w:pPr>
            <w:r>
              <w:rPr>
                <w:sz w:val="18"/>
              </w:rPr>
              <w:t>4214</w:t>
            </w:r>
          </w:p>
        </w:tc>
        <w:tc>
          <w:tcPr>
            <w:tcW w:w="1860" w:type="dxa"/>
            <w:tcMar>
              <w:top w:w="0" w:type="dxa"/>
              <w:bottom w:w="0" w:type="dxa"/>
            </w:tcMar>
            <w:vAlign w:val="center"/>
          </w:tcPr>
          <w:p w14:paraId="4B231D3F" w14:textId="77777777" w:rsidR="006A125D" w:rsidRDefault="00000000">
            <w:pPr>
              <w:keepNext/>
              <w:keepLines/>
              <w:spacing w:after="0" w:line="240" w:lineRule="auto"/>
              <w:jc w:val="right"/>
            </w:pPr>
            <w:r>
              <w:rPr>
                <w:sz w:val="18"/>
              </w:rPr>
              <w:t>349.155,00</w:t>
            </w:r>
          </w:p>
        </w:tc>
        <w:tc>
          <w:tcPr>
            <w:tcW w:w="1860" w:type="dxa"/>
            <w:tcMar>
              <w:top w:w="0" w:type="dxa"/>
              <w:bottom w:w="0" w:type="dxa"/>
            </w:tcMar>
            <w:vAlign w:val="center"/>
          </w:tcPr>
          <w:p w14:paraId="1D25D779" w14:textId="77777777" w:rsidR="006A125D" w:rsidRDefault="00000000">
            <w:pPr>
              <w:keepNext/>
              <w:keepLines/>
              <w:spacing w:after="0" w:line="240" w:lineRule="auto"/>
              <w:jc w:val="right"/>
            </w:pPr>
            <w:r>
              <w:rPr>
                <w:sz w:val="18"/>
              </w:rPr>
              <w:t>523.763,73</w:t>
            </w:r>
          </w:p>
        </w:tc>
        <w:tc>
          <w:tcPr>
            <w:tcW w:w="700" w:type="dxa"/>
            <w:tcMar>
              <w:top w:w="0" w:type="dxa"/>
              <w:bottom w:w="0" w:type="dxa"/>
            </w:tcMar>
            <w:vAlign w:val="center"/>
          </w:tcPr>
          <w:p w14:paraId="4FC811C6" w14:textId="77777777" w:rsidR="006A125D" w:rsidRDefault="00000000">
            <w:pPr>
              <w:keepNext/>
              <w:keepLines/>
              <w:spacing w:after="0" w:line="240" w:lineRule="auto"/>
              <w:jc w:val="right"/>
            </w:pPr>
            <w:r>
              <w:rPr>
                <w:sz w:val="18"/>
              </w:rPr>
              <w:t>150,0</w:t>
            </w:r>
          </w:p>
        </w:tc>
      </w:tr>
    </w:tbl>
    <w:p w14:paraId="5489585F" w14:textId="77777777" w:rsidR="006A125D" w:rsidRDefault="006A125D">
      <w:pPr>
        <w:spacing w:after="0"/>
      </w:pPr>
    </w:p>
    <w:p w14:paraId="34101000" w14:textId="77777777" w:rsidR="006A125D" w:rsidRDefault="00000000">
      <w:pPr>
        <w:spacing w:line="240" w:lineRule="auto"/>
        <w:jc w:val="both"/>
      </w:pPr>
      <w:r>
        <w:t>Najveće povećanje u ovom izvještajnom razdoblju odnosi se na zamjenu nekretnine s Albatros grupom d.o.o. (461.000,00 eura)</w:t>
      </w:r>
    </w:p>
    <w:p w14:paraId="6742A185" w14:textId="77777777" w:rsidR="006A125D" w:rsidRDefault="006A125D"/>
    <w:p w14:paraId="023B5D23" w14:textId="77777777" w:rsidR="006A125D" w:rsidRDefault="00000000">
      <w:pPr>
        <w:keepNext/>
        <w:spacing w:line="240" w:lineRule="auto"/>
        <w:jc w:val="center"/>
      </w:pPr>
      <w:r>
        <w:rPr>
          <w:sz w:val="28"/>
        </w:rPr>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159E9F5D"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3A70B7D2"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1148BE4C"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2EB92D45"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110A8ABC"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5C78F987"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2809A8D4" w14:textId="77777777" w:rsidR="006A125D" w:rsidRDefault="00000000">
            <w:pPr>
              <w:keepNext/>
              <w:keepLines/>
              <w:spacing w:after="0" w:line="240" w:lineRule="auto"/>
              <w:jc w:val="center"/>
            </w:pPr>
            <w:r>
              <w:rPr>
                <w:b/>
                <w:sz w:val="18"/>
              </w:rPr>
              <w:t>Indeks (%)</w:t>
            </w:r>
          </w:p>
        </w:tc>
      </w:tr>
      <w:tr w:rsidR="006A125D" w14:paraId="7E128D3F" w14:textId="77777777">
        <w:tblPrEx>
          <w:tblCellMar>
            <w:top w:w="0" w:type="dxa"/>
            <w:bottom w:w="0" w:type="dxa"/>
          </w:tblCellMar>
        </w:tblPrEx>
        <w:trPr>
          <w:cantSplit/>
          <w:trHeight w:val="560"/>
        </w:trPr>
        <w:tc>
          <w:tcPr>
            <w:tcW w:w="700" w:type="dxa"/>
            <w:tcMar>
              <w:top w:w="0" w:type="dxa"/>
              <w:bottom w:w="0" w:type="dxa"/>
            </w:tcMar>
            <w:vAlign w:val="center"/>
          </w:tcPr>
          <w:p w14:paraId="01547E2B" w14:textId="77777777" w:rsidR="006A125D" w:rsidRDefault="00000000">
            <w:pPr>
              <w:keepNext/>
              <w:keepLines/>
              <w:spacing w:after="0" w:line="240" w:lineRule="auto"/>
            </w:pPr>
            <w:r>
              <w:rPr>
                <w:sz w:val="18"/>
              </w:rPr>
              <w:t>8422</w:t>
            </w:r>
          </w:p>
        </w:tc>
        <w:tc>
          <w:tcPr>
            <w:tcW w:w="3180" w:type="dxa"/>
            <w:tcMar>
              <w:top w:w="0" w:type="dxa"/>
              <w:bottom w:w="0" w:type="dxa"/>
            </w:tcMar>
            <w:vAlign w:val="center"/>
          </w:tcPr>
          <w:p w14:paraId="2178E0C2" w14:textId="77777777" w:rsidR="006A125D" w:rsidRDefault="00000000">
            <w:pPr>
              <w:keepNext/>
              <w:keepLines/>
              <w:spacing w:after="0" w:line="240" w:lineRule="auto"/>
            </w:pPr>
            <w:r>
              <w:rPr>
                <w:sz w:val="18"/>
              </w:rPr>
              <w:t>Primljeni krediti od kreditnih institucija u javnom sektoru</w:t>
            </w:r>
          </w:p>
        </w:tc>
        <w:tc>
          <w:tcPr>
            <w:tcW w:w="700" w:type="dxa"/>
            <w:tcMar>
              <w:top w:w="0" w:type="dxa"/>
              <w:bottom w:w="0" w:type="dxa"/>
            </w:tcMar>
            <w:vAlign w:val="center"/>
          </w:tcPr>
          <w:p w14:paraId="3553419A" w14:textId="77777777" w:rsidR="006A125D" w:rsidRDefault="00000000">
            <w:pPr>
              <w:keepNext/>
              <w:keepLines/>
              <w:spacing w:after="0" w:line="240" w:lineRule="auto"/>
            </w:pPr>
            <w:r>
              <w:rPr>
                <w:sz w:val="18"/>
              </w:rPr>
              <w:t>8422</w:t>
            </w:r>
          </w:p>
        </w:tc>
        <w:tc>
          <w:tcPr>
            <w:tcW w:w="1860" w:type="dxa"/>
            <w:tcMar>
              <w:top w:w="0" w:type="dxa"/>
              <w:bottom w:w="0" w:type="dxa"/>
            </w:tcMar>
            <w:vAlign w:val="center"/>
          </w:tcPr>
          <w:p w14:paraId="56088F17" w14:textId="77777777" w:rsidR="006A125D" w:rsidRDefault="00000000">
            <w:pPr>
              <w:keepNext/>
              <w:keepLines/>
              <w:spacing w:after="0" w:line="240" w:lineRule="auto"/>
              <w:jc w:val="right"/>
            </w:pPr>
            <w:r>
              <w:rPr>
                <w:sz w:val="18"/>
              </w:rPr>
              <w:t>0,00</w:t>
            </w:r>
          </w:p>
        </w:tc>
        <w:tc>
          <w:tcPr>
            <w:tcW w:w="1860" w:type="dxa"/>
            <w:tcMar>
              <w:top w:w="0" w:type="dxa"/>
              <w:bottom w:w="0" w:type="dxa"/>
            </w:tcMar>
            <w:vAlign w:val="center"/>
          </w:tcPr>
          <w:p w14:paraId="21665B42" w14:textId="77777777" w:rsidR="006A125D" w:rsidRDefault="00000000">
            <w:pPr>
              <w:keepNext/>
              <w:keepLines/>
              <w:spacing w:after="0" w:line="240" w:lineRule="auto"/>
              <w:jc w:val="right"/>
            </w:pPr>
            <w:r>
              <w:rPr>
                <w:sz w:val="18"/>
              </w:rPr>
              <w:t>617.631,16</w:t>
            </w:r>
          </w:p>
        </w:tc>
        <w:tc>
          <w:tcPr>
            <w:tcW w:w="700" w:type="dxa"/>
            <w:tcMar>
              <w:top w:w="0" w:type="dxa"/>
              <w:bottom w:w="0" w:type="dxa"/>
            </w:tcMar>
            <w:vAlign w:val="center"/>
          </w:tcPr>
          <w:p w14:paraId="6EC7B25D" w14:textId="77777777" w:rsidR="006A125D" w:rsidRDefault="00000000">
            <w:pPr>
              <w:keepNext/>
              <w:keepLines/>
              <w:spacing w:after="0" w:line="240" w:lineRule="auto"/>
              <w:jc w:val="right"/>
            </w:pPr>
            <w:r>
              <w:rPr>
                <w:sz w:val="18"/>
              </w:rPr>
              <w:t>-</w:t>
            </w:r>
          </w:p>
        </w:tc>
      </w:tr>
    </w:tbl>
    <w:p w14:paraId="28C1A6A5" w14:textId="77777777" w:rsidR="006A125D" w:rsidRDefault="006A125D">
      <w:pPr>
        <w:spacing w:after="0"/>
      </w:pPr>
    </w:p>
    <w:p w14:paraId="2822CC0E" w14:textId="77777777" w:rsidR="006A125D" w:rsidRDefault="00000000">
      <w:pPr>
        <w:spacing w:line="240" w:lineRule="auto"/>
        <w:jc w:val="both"/>
      </w:pPr>
      <w:r>
        <w:lastRenderedPageBreak/>
        <w:t>Rashodi se odnose na troškove plaćene iz dugoročnog kredita HBOR-a za energetsku obnovu zgrade Dječjeg vrtića Zvončić.</w:t>
      </w:r>
    </w:p>
    <w:p w14:paraId="59FAECD5" w14:textId="77777777" w:rsidR="006A125D" w:rsidRDefault="006A125D"/>
    <w:p w14:paraId="0A5C869E" w14:textId="77777777" w:rsidR="006A125D" w:rsidRDefault="00000000">
      <w:pPr>
        <w:keepNext/>
        <w:spacing w:line="240" w:lineRule="auto"/>
        <w:jc w:val="center"/>
      </w:pPr>
      <w:r>
        <w:rPr>
          <w:sz w:val="28"/>
        </w:rPr>
        <w:t>Bilješka 31.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700"/>
        <w:gridCol w:w="3180"/>
        <w:gridCol w:w="700"/>
        <w:gridCol w:w="1860"/>
        <w:gridCol w:w="1860"/>
        <w:gridCol w:w="700"/>
      </w:tblGrid>
      <w:tr w:rsidR="006A125D" w14:paraId="6FCFB176"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1AA509B5"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487221F8"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5D8E104B"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2E13E7FC" w14:textId="77777777" w:rsidR="006A125D" w:rsidRDefault="0000000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14:paraId="4CB7871D" w14:textId="77777777" w:rsidR="006A125D" w:rsidRDefault="0000000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14:paraId="37C731D6" w14:textId="77777777" w:rsidR="006A125D" w:rsidRDefault="00000000">
            <w:pPr>
              <w:keepNext/>
              <w:keepLines/>
              <w:spacing w:after="0" w:line="240" w:lineRule="auto"/>
              <w:jc w:val="center"/>
            </w:pPr>
            <w:r>
              <w:rPr>
                <w:b/>
                <w:sz w:val="18"/>
              </w:rPr>
              <w:t>Indeks (%)</w:t>
            </w:r>
          </w:p>
        </w:tc>
      </w:tr>
      <w:tr w:rsidR="006A125D" w14:paraId="350563D7" w14:textId="77777777">
        <w:tblPrEx>
          <w:tblCellMar>
            <w:top w:w="0" w:type="dxa"/>
            <w:bottom w:w="0" w:type="dxa"/>
          </w:tblCellMar>
        </w:tblPrEx>
        <w:trPr>
          <w:cantSplit/>
          <w:trHeight w:val="560"/>
        </w:trPr>
        <w:tc>
          <w:tcPr>
            <w:tcW w:w="700" w:type="dxa"/>
            <w:tcMar>
              <w:top w:w="0" w:type="dxa"/>
              <w:bottom w:w="0" w:type="dxa"/>
            </w:tcMar>
            <w:vAlign w:val="center"/>
          </w:tcPr>
          <w:p w14:paraId="0DD7EA17" w14:textId="77777777" w:rsidR="006A125D" w:rsidRDefault="00000000">
            <w:pPr>
              <w:keepNext/>
              <w:keepLines/>
              <w:spacing w:after="0" w:line="240" w:lineRule="auto"/>
            </w:pPr>
            <w:r>
              <w:rPr>
                <w:sz w:val="18"/>
              </w:rPr>
              <w:t>5443</w:t>
            </w:r>
          </w:p>
        </w:tc>
        <w:tc>
          <w:tcPr>
            <w:tcW w:w="3180" w:type="dxa"/>
            <w:tcMar>
              <w:top w:w="0" w:type="dxa"/>
              <w:bottom w:w="0" w:type="dxa"/>
            </w:tcMar>
            <w:vAlign w:val="center"/>
          </w:tcPr>
          <w:p w14:paraId="2F3C2F53" w14:textId="77777777" w:rsidR="006A125D" w:rsidRDefault="00000000">
            <w:pPr>
              <w:keepNext/>
              <w:keepLines/>
              <w:spacing w:after="0" w:line="240" w:lineRule="auto"/>
            </w:pPr>
            <w:r>
              <w:rPr>
                <w:sz w:val="18"/>
              </w:rPr>
              <w:t>Otplata glavnice primljenih kredita od tuzemnih kreditnih institucija izvan javnog sektora</w:t>
            </w:r>
          </w:p>
        </w:tc>
        <w:tc>
          <w:tcPr>
            <w:tcW w:w="700" w:type="dxa"/>
            <w:tcMar>
              <w:top w:w="0" w:type="dxa"/>
              <w:bottom w:w="0" w:type="dxa"/>
            </w:tcMar>
            <w:vAlign w:val="center"/>
          </w:tcPr>
          <w:p w14:paraId="32F05B1F" w14:textId="77777777" w:rsidR="006A125D" w:rsidRDefault="00000000">
            <w:pPr>
              <w:keepNext/>
              <w:keepLines/>
              <w:spacing w:after="0" w:line="240" w:lineRule="auto"/>
            </w:pPr>
            <w:r>
              <w:rPr>
                <w:sz w:val="18"/>
              </w:rPr>
              <w:t>5443</w:t>
            </w:r>
          </w:p>
        </w:tc>
        <w:tc>
          <w:tcPr>
            <w:tcW w:w="1860" w:type="dxa"/>
            <w:tcMar>
              <w:top w:w="0" w:type="dxa"/>
              <w:bottom w:w="0" w:type="dxa"/>
            </w:tcMar>
            <w:vAlign w:val="center"/>
          </w:tcPr>
          <w:p w14:paraId="49E4712E" w14:textId="77777777" w:rsidR="006A125D" w:rsidRDefault="00000000">
            <w:pPr>
              <w:keepNext/>
              <w:keepLines/>
              <w:spacing w:after="0" w:line="240" w:lineRule="auto"/>
              <w:jc w:val="right"/>
            </w:pPr>
            <w:r>
              <w:rPr>
                <w:sz w:val="18"/>
              </w:rPr>
              <w:t>1.216.885,03</w:t>
            </w:r>
          </w:p>
        </w:tc>
        <w:tc>
          <w:tcPr>
            <w:tcW w:w="1860" w:type="dxa"/>
            <w:tcMar>
              <w:top w:w="0" w:type="dxa"/>
              <w:bottom w:w="0" w:type="dxa"/>
            </w:tcMar>
            <w:vAlign w:val="center"/>
          </w:tcPr>
          <w:p w14:paraId="5BD6BF09" w14:textId="77777777" w:rsidR="006A125D" w:rsidRDefault="00000000">
            <w:pPr>
              <w:keepNext/>
              <w:keepLines/>
              <w:spacing w:after="0" w:line="240" w:lineRule="auto"/>
              <w:jc w:val="right"/>
            </w:pPr>
            <w:r>
              <w:rPr>
                <w:sz w:val="18"/>
              </w:rPr>
              <w:t>312.500,00</w:t>
            </w:r>
          </w:p>
        </w:tc>
        <w:tc>
          <w:tcPr>
            <w:tcW w:w="700" w:type="dxa"/>
            <w:tcMar>
              <w:top w:w="0" w:type="dxa"/>
              <w:bottom w:w="0" w:type="dxa"/>
            </w:tcMar>
            <w:vAlign w:val="center"/>
          </w:tcPr>
          <w:p w14:paraId="586BA77E" w14:textId="77777777" w:rsidR="006A125D" w:rsidRDefault="00000000">
            <w:pPr>
              <w:keepNext/>
              <w:keepLines/>
              <w:spacing w:after="0" w:line="240" w:lineRule="auto"/>
              <w:jc w:val="right"/>
            </w:pPr>
            <w:r>
              <w:rPr>
                <w:sz w:val="18"/>
              </w:rPr>
              <w:t>25,7</w:t>
            </w:r>
          </w:p>
        </w:tc>
      </w:tr>
    </w:tbl>
    <w:p w14:paraId="2AD40B7E" w14:textId="77777777" w:rsidR="006A125D" w:rsidRDefault="006A125D">
      <w:pPr>
        <w:spacing w:after="0"/>
      </w:pPr>
    </w:p>
    <w:p w14:paraId="23C9B931" w14:textId="77777777" w:rsidR="006A125D" w:rsidRDefault="00000000">
      <w:pPr>
        <w:spacing w:line="240" w:lineRule="auto"/>
        <w:jc w:val="both"/>
      </w:pPr>
      <w:r>
        <w:t>Rashodi se odnose na povrat glavnice kratkoročnog kredita u iznosu od 312.500,00 eura.</w:t>
      </w:r>
    </w:p>
    <w:p w14:paraId="0CD24D2B" w14:textId="77777777" w:rsidR="006A125D" w:rsidRDefault="006A125D"/>
    <w:p w14:paraId="7AE71F38" w14:textId="77777777" w:rsidR="006A125D" w:rsidRDefault="00000000">
      <w:pPr>
        <w:keepNext/>
        <w:spacing w:line="240" w:lineRule="auto"/>
        <w:jc w:val="center"/>
      </w:pPr>
      <w:r>
        <w:rPr>
          <w:b/>
          <w:sz w:val="28"/>
        </w:rPr>
        <w:t>Izvještaj o obvezama</w:t>
      </w:r>
    </w:p>
    <w:p w14:paraId="0FA594D1" w14:textId="77777777" w:rsidR="006A125D" w:rsidRDefault="00000000">
      <w:pPr>
        <w:keepNext/>
        <w:spacing w:line="240" w:lineRule="auto"/>
        <w:jc w:val="center"/>
      </w:pPr>
      <w:r>
        <w:rPr>
          <w:sz w:val="28"/>
        </w:rPr>
        <w:t>Bilješka 32.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4A0" w:firstRow="1" w:lastRow="0" w:firstColumn="1" w:lastColumn="0" w:noHBand="0" w:noVBand="1"/>
      </w:tblPr>
      <w:tblGrid>
        <w:gridCol w:w="883"/>
        <w:gridCol w:w="4008"/>
        <w:gridCol w:w="882"/>
        <w:gridCol w:w="2345"/>
        <w:gridCol w:w="882"/>
      </w:tblGrid>
      <w:tr w:rsidR="006A125D" w14:paraId="6B4A0B0B" w14:textId="77777777">
        <w:tblPrEx>
          <w:tblCellMar>
            <w:top w:w="0" w:type="dxa"/>
            <w:bottom w:w="0" w:type="dxa"/>
          </w:tblCellMar>
        </w:tblPrEx>
        <w:trPr>
          <w:cantSplit/>
        </w:trPr>
        <w:tc>
          <w:tcPr>
            <w:tcW w:w="700" w:type="dxa"/>
            <w:shd w:val="clear" w:color="auto" w:fill="E7F0F9"/>
            <w:tcMar>
              <w:top w:w="0" w:type="dxa"/>
              <w:bottom w:w="0" w:type="dxa"/>
            </w:tcMar>
            <w:vAlign w:val="center"/>
          </w:tcPr>
          <w:p w14:paraId="5E4AD7F0" w14:textId="77777777" w:rsidR="006A125D" w:rsidRDefault="0000000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14:paraId="784AECFF" w14:textId="77777777" w:rsidR="006A125D" w:rsidRDefault="0000000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14:paraId="6D72F888" w14:textId="77777777" w:rsidR="006A125D" w:rsidRDefault="0000000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14:paraId="6EB56A05" w14:textId="77777777" w:rsidR="006A125D" w:rsidRDefault="00000000">
            <w:pPr>
              <w:keepNext/>
              <w:keepLines/>
              <w:spacing w:after="0" w:line="240" w:lineRule="auto"/>
              <w:jc w:val="center"/>
            </w:pPr>
            <w:r>
              <w:rPr>
                <w:b/>
                <w:sz w:val="18"/>
              </w:rPr>
              <w:t>Iznos</w:t>
            </w:r>
          </w:p>
        </w:tc>
        <w:tc>
          <w:tcPr>
            <w:tcW w:w="700" w:type="dxa"/>
            <w:shd w:val="clear" w:color="auto" w:fill="E7F0F9"/>
            <w:tcMar>
              <w:top w:w="0" w:type="dxa"/>
              <w:bottom w:w="0" w:type="dxa"/>
            </w:tcMar>
            <w:vAlign w:val="center"/>
          </w:tcPr>
          <w:p w14:paraId="40B14252" w14:textId="77777777" w:rsidR="006A125D" w:rsidRDefault="00000000">
            <w:pPr>
              <w:keepNext/>
              <w:keepLines/>
              <w:spacing w:after="0" w:line="240" w:lineRule="auto"/>
              <w:jc w:val="center"/>
            </w:pPr>
            <w:r>
              <w:rPr>
                <w:b/>
                <w:sz w:val="18"/>
              </w:rPr>
              <w:t>Indeks (%)</w:t>
            </w:r>
          </w:p>
        </w:tc>
      </w:tr>
      <w:tr w:rsidR="006A125D" w14:paraId="5FEF4566" w14:textId="77777777">
        <w:tblPrEx>
          <w:tblCellMar>
            <w:top w:w="0" w:type="dxa"/>
            <w:bottom w:w="0" w:type="dxa"/>
          </w:tblCellMar>
        </w:tblPrEx>
        <w:trPr>
          <w:cantSplit/>
          <w:trHeight w:val="560"/>
        </w:trPr>
        <w:tc>
          <w:tcPr>
            <w:tcW w:w="700" w:type="dxa"/>
            <w:tcMar>
              <w:top w:w="0" w:type="dxa"/>
              <w:bottom w:w="0" w:type="dxa"/>
            </w:tcMar>
            <w:vAlign w:val="center"/>
          </w:tcPr>
          <w:p w14:paraId="12969B3C" w14:textId="77777777" w:rsidR="006A125D" w:rsidRDefault="006A125D">
            <w:pPr>
              <w:keepNext/>
              <w:keepLines/>
              <w:spacing w:after="0" w:line="240" w:lineRule="auto"/>
            </w:pPr>
          </w:p>
        </w:tc>
        <w:tc>
          <w:tcPr>
            <w:tcW w:w="3180" w:type="dxa"/>
            <w:tcMar>
              <w:top w:w="0" w:type="dxa"/>
              <w:bottom w:w="0" w:type="dxa"/>
            </w:tcMar>
            <w:vAlign w:val="center"/>
          </w:tcPr>
          <w:p w14:paraId="36CE188D" w14:textId="77777777" w:rsidR="006A125D" w:rsidRDefault="00000000">
            <w:pPr>
              <w:keepNext/>
              <w:keepLines/>
              <w:spacing w:after="0" w:line="240" w:lineRule="auto"/>
            </w:pPr>
            <w:r>
              <w:rPr>
                <w:sz w:val="18"/>
              </w:rPr>
              <w:t>Stanje dospjelih obveza na kraju izvještajnog razdoblja (šifre V008+D23+D24 + 'D dio 25,26' + D27)</w:t>
            </w:r>
          </w:p>
        </w:tc>
        <w:tc>
          <w:tcPr>
            <w:tcW w:w="700" w:type="dxa"/>
            <w:tcMar>
              <w:top w:w="0" w:type="dxa"/>
              <w:bottom w:w="0" w:type="dxa"/>
            </w:tcMar>
            <w:vAlign w:val="center"/>
          </w:tcPr>
          <w:p w14:paraId="1B90A534" w14:textId="77777777" w:rsidR="006A125D" w:rsidRDefault="00000000">
            <w:pPr>
              <w:keepNext/>
              <w:keepLines/>
              <w:spacing w:after="0" w:line="240" w:lineRule="auto"/>
            </w:pPr>
            <w:r>
              <w:rPr>
                <w:sz w:val="18"/>
              </w:rPr>
              <w:t>V007</w:t>
            </w:r>
          </w:p>
        </w:tc>
        <w:tc>
          <w:tcPr>
            <w:tcW w:w="1860" w:type="dxa"/>
            <w:tcMar>
              <w:top w:w="0" w:type="dxa"/>
              <w:bottom w:w="0" w:type="dxa"/>
            </w:tcMar>
            <w:vAlign w:val="center"/>
          </w:tcPr>
          <w:p w14:paraId="171E766A" w14:textId="77777777" w:rsidR="006A125D" w:rsidRDefault="00000000">
            <w:pPr>
              <w:keepNext/>
              <w:keepLines/>
              <w:spacing w:after="0" w:line="240" w:lineRule="auto"/>
              <w:jc w:val="right"/>
            </w:pPr>
            <w:r>
              <w:rPr>
                <w:sz w:val="18"/>
              </w:rPr>
              <w:t>915.935,01</w:t>
            </w:r>
          </w:p>
        </w:tc>
        <w:tc>
          <w:tcPr>
            <w:tcW w:w="700" w:type="dxa"/>
            <w:tcMar>
              <w:top w:w="0" w:type="dxa"/>
              <w:bottom w:w="0" w:type="dxa"/>
            </w:tcMar>
            <w:vAlign w:val="center"/>
          </w:tcPr>
          <w:p w14:paraId="06B16EAB" w14:textId="77777777" w:rsidR="006A125D" w:rsidRDefault="00000000">
            <w:pPr>
              <w:keepNext/>
              <w:keepLines/>
              <w:spacing w:after="0" w:line="240" w:lineRule="auto"/>
              <w:jc w:val="right"/>
            </w:pPr>
            <w:r>
              <w:rPr>
                <w:sz w:val="18"/>
              </w:rPr>
              <w:t>-</w:t>
            </w:r>
          </w:p>
        </w:tc>
      </w:tr>
    </w:tbl>
    <w:p w14:paraId="79464B7E" w14:textId="77777777" w:rsidR="006A125D" w:rsidRDefault="006A125D">
      <w:pPr>
        <w:spacing w:after="0"/>
      </w:pPr>
    </w:p>
    <w:p w14:paraId="18CB2121" w14:textId="77777777" w:rsidR="006A125D" w:rsidRDefault="00000000">
      <w:pPr>
        <w:spacing w:line="240" w:lineRule="auto"/>
        <w:jc w:val="both"/>
      </w:pPr>
      <w:r>
        <w:t>Stanje dospjelih obveza odnosi se na ratu dugoročnog zaduženja kod Zagrebačke banke za sportsku dvoranu u iznosu 91.885,03 eura, na obveze za nefinancijsku imovinu 164.222,45 eura i obveze za materijalne rashode u iznosu 659.827,53 eura. Razlog tome je što u ovom izvještajnom razdoblju nije bilo prihoda od poreza kroz puna dva mjeseca zbog povrata poreza za 2025. koje je provodila Porezna uprava. Također, započeti su kapitalni projekti na području općine te se za njihovu provedbu tek očekuje priljev sredstava. Isto tako, zbog provedbe lokalnih izbora i nekonstituiranog vijeća nisu se mogle donijeti bitne odluke koje se odnose na prodaju imovine za koju se također očekuje priljev novčanih sredstava. Sve dospjele obveze biti će podmirene u narednom izvještajnom razdoblju.</w:t>
      </w:r>
    </w:p>
    <w:p w14:paraId="43C2A84F" w14:textId="77777777" w:rsidR="006A125D" w:rsidRDefault="006A125D"/>
    <w:sectPr w:rsidR="006A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5D"/>
    <w:rsid w:val="006A125D"/>
    <w:rsid w:val="0080386C"/>
    <w:rsid w:val="00FB65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71A1"/>
  <w15:docId w15:val="{5676614F-C693-4B43-ABB7-6DED8B14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2760</Words>
  <Characters>15733</Characters>
  <Application>Microsoft Office Word</Application>
  <DocSecurity>0</DocSecurity>
  <Lines>131</Lines>
  <Paragraphs>36</Paragraphs>
  <ScaleCrop>false</ScaleCrop>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MC. Čolović</dc:creator>
  <cp:lastModifiedBy>Mateja MC. Čolović</cp:lastModifiedBy>
  <cp:revision>2</cp:revision>
  <cp:lastPrinted>2025-07-10T08:31:00Z</cp:lastPrinted>
  <dcterms:created xsi:type="dcterms:W3CDTF">2025-07-10T08:37:00Z</dcterms:created>
  <dcterms:modified xsi:type="dcterms:W3CDTF">2025-07-10T08:37:00Z</dcterms:modified>
</cp:coreProperties>
</file>